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4CEA02" w14:textId="75A56BFC" w:rsidR="00781D63" w:rsidRDefault="00781D63" w:rsidP="00510E88">
      <w:pPr>
        <w:jc w:val="center"/>
        <w:rPr>
          <w:sz w:val="40"/>
        </w:rPr>
      </w:pPr>
    </w:p>
    <w:p w14:paraId="56BA105D" w14:textId="77777777" w:rsidR="00781D63" w:rsidRDefault="00781D63" w:rsidP="00510E88">
      <w:pPr>
        <w:jc w:val="center"/>
        <w:rPr>
          <w:sz w:val="40"/>
        </w:rPr>
      </w:pPr>
      <w:r>
        <w:rPr>
          <w:sz w:val="40"/>
        </w:rPr>
        <w:t>SEMMELWEIS EGYETEM</w:t>
      </w:r>
    </w:p>
    <w:p w14:paraId="3B12B520" w14:textId="77777777" w:rsidR="00781D63" w:rsidRDefault="00781D63" w:rsidP="00510E88">
      <w:pPr>
        <w:jc w:val="center"/>
        <w:rPr>
          <w:sz w:val="40"/>
        </w:rPr>
      </w:pPr>
      <w:r>
        <w:rPr>
          <w:sz w:val="40"/>
        </w:rPr>
        <w:t>DOKTORI ISKOLA</w:t>
      </w:r>
    </w:p>
    <w:p w14:paraId="482C195F" w14:textId="77777777" w:rsidR="00781D63" w:rsidRDefault="00781D63" w:rsidP="00510E88">
      <w:pPr>
        <w:jc w:val="center"/>
        <w:rPr>
          <w:sz w:val="40"/>
        </w:rPr>
      </w:pPr>
    </w:p>
    <w:p w14:paraId="5ED63624" w14:textId="662CAAC4" w:rsidR="00781D63" w:rsidRDefault="00781D63" w:rsidP="00510E88">
      <w:pPr>
        <w:jc w:val="center"/>
        <w:rPr>
          <w:b/>
          <w:sz w:val="40"/>
        </w:rPr>
      </w:pPr>
      <w:proofErr w:type="spellStart"/>
      <w:r>
        <w:rPr>
          <w:b/>
          <w:sz w:val="40"/>
        </w:rPr>
        <w:t>Ph.D</w:t>
      </w:r>
      <w:proofErr w:type="spellEnd"/>
      <w:r>
        <w:rPr>
          <w:b/>
          <w:sz w:val="40"/>
        </w:rPr>
        <w:t>. értekezések</w:t>
      </w:r>
    </w:p>
    <w:p w14:paraId="28C11706" w14:textId="77777777" w:rsidR="006B43A3" w:rsidRDefault="006B43A3" w:rsidP="00510E88">
      <w:pPr>
        <w:jc w:val="center"/>
        <w:rPr>
          <w:b/>
          <w:sz w:val="40"/>
        </w:rPr>
      </w:pPr>
    </w:p>
    <w:p w14:paraId="7B580E4E" w14:textId="77777777" w:rsidR="00781D63" w:rsidRDefault="00781D63" w:rsidP="00510E88">
      <w:pPr>
        <w:ind w:left="4248"/>
        <w:rPr>
          <w:b/>
          <w:sz w:val="40"/>
        </w:rPr>
      </w:pPr>
      <w:r>
        <w:rPr>
          <w:b/>
          <w:sz w:val="40"/>
        </w:rPr>
        <w:t>3313.</w:t>
      </w:r>
    </w:p>
    <w:p w14:paraId="2F8CE737" w14:textId="77777777" w:rsidR="006B43A3" w:rsidRDefault="006B43A3" w:rsidP="00510E88">
      <w:pPr>
        <w:ind w:left="4248"/>
        <w:rPr>
          <w:b/>
          <w:sz w:val="40"/>
        </w:rPr>
      </w:pPr>
    </w:p>
    <w:p w14:paraId="08B98689" w14:textId="77777777" w:rsidR="00781D63" w:rsidRDefault="00781D63" w:rsidP="00510E88">
      <w:pPr>
        <w:jc w:val="center"/>
        <w:rPr>
          <w:b/>
          <w:sz w:val="40"/>
        </w:rPr>
      </w:pPr>
      <w:r>
        <w:rPr>
          <w:b/>
          <w:sz w:val="40"/>
        </w:rPr>
        <w:t>SZIGETVÁRY CSENGE ERZSÉBET</w:t>
      </w:r>
    </w:p>
    <w:p w14:paraId="506AEEA4" w14:textId="77777777" w:rsidR="00781D63" w:rsidRDefault="00781D63" w:rsidP="00510E88">
      <w:pPr>
        <w:jc w:val="center"/>
        <w:rPr>
          <w:b/>
          <w:sz w:val="40"/>
        </w:rPr>
      </w:pPr>
    </w:p>
    <w:p w14:paraId="3151DE40" w14:textId="77777777" w:rsidR="00781D63" w:rsidRDefault="00781D63" w:rsidP="00510E88">
      <w:pPr>
        <w:jc w:val="center"/>
        <w:rPr>
          <w:b/>
          <w:sz w:val="40"/>
        </w:rPr>
      </w:pPr>
    </w:p>
    <w:p w14:paraId="3834F998" w14:textId="77777777" w:rsidR="00781D63" w:rsidRDefault="00781D63" w:rsidP="00510E88">
      <w:pPr>
        <w:ind w:left="708" w:firstLine="708"/>
        <w:jc w:val="center"/>
        <w:rPr>
          <w:b/>
          <w:sz w:val="28"/>
          <w:szCs w:val="28"/>
        </w:rPr>
      </w:pPr>
    </w:p>
    <w:p w14:paraId="63580A84" w14:textId="77777777" w:rsidR="00781D63" w:rsidRPr="0092241C" w:rsidRDefault="00781D63" w:rsidP="00510E88">
      <w:pPr>
        <w:jc w:val="center"/>
        <w:rPr>
          <w:b/>
          <w:sz w:val="28"/>
          <w:szCs w:val="28"/>
        </w:rPr>
      </w:pPr>
      <w:r>
        <w:rPr>
          <w:b/>
          <w:sz w:val="28"/>
          <w:szCs w:val="28"/>
        </w:rPr>
        <w:t>Transzlációs és klinikai farmakológia</w:t>
      </w:r>
    </w:p>
    <w:p w14:paraId="4398630A" w14:textId="77777777" w:rsidR="00781D63" w:rsidRDefault="00781D63" w:rsidP="00C13D6F">
      <w:pPr>
        <w:jc w:val="center"/>
        <w:rPr>
          <w:szCs w:val="26"/>
        </w:rPr>
      </w:pPr>
      <w:r w:rsidRPr="00D17087">
        <w:rPr>
          <w:szCs w:val="26"/>
        </w:rPr>
        <w:t>című program</w:t>
      </w:r>
    </w:p>
    <w:p w14:paraId="7E9622AA" w14:textId="77777777" w:rsidR="00781D63" w:rsidRDefault="00781D63" w:rsidP="00510E88">
      <w:pPr>
        <w:jc w:val="center"/>
        <w:rPr>
          <w:szCs w:val="26"/>
        </w:rPr>
      </w:pPr>
    </w:p>
    <w:p w14:paraId="45C92560" w14:textId="77777777" w:rsidR="00781D63" w:rsidRDefault="00781D63" w:rsidP="006B43A3">
      <w:pPr>
        <w:rPr>
          <w:szCs w:val="26"/>
        </w:rPr>
      </w:pPr>
    </w:p>
    <w:p w14:paraId="26ADF0CF" w14:textId="4ECA86C8" w:rsidR="00C13D6F" w:rsidRDefault="00781D63" w:rsidP="00C13D6F">
      <w:pPr>
        <w:jc w:val="center"/>
        <w:rPr>
          <w:szCs w:val="26"/>
        </w:rPr>
      </w:pPr>
      <w:r w:rsidRPr="00A27396">
        <w:rPr>
          <w:szCs w:val="26"/>
        </w:rPr>
        <w:t>Program</w:t>
      </w:r>
      <w:r>
        <w:rPr>
          <w:szCs w:val="26"/>
        </w:rPr>
        <w:t xml:space="preserve">vezető: </w:t>
      </w:r>
      <w:bookmarkStart w:id="0" w:name="_Hlk202437381"/>
      <w:r>
        <w:rPr>
          <w:szCs w:val="26"/>
        </w:rPr>
        <w:t>Dr.</w:t>
      </w:r>
      <w:bookmarkEnd w:id="0"/>
      <w:r w:rsidRPr="004B7C91">
        <w:rPr>
          <w:szCs w:val="26"/>
        </w:rPr>
        <w:t xml:space="preserve"> </w:t>
      </w:r>
      <w:proofErr w:type="spellStart"/>
      <w:r>
        <w:rPr>
          <w:szCs w:val="26"/>
        </w:rPr>
        <w:t>Ferdinandy</w:t>
      </w:r>
      <w:proofErr w:type="spellEnd"/>
      <w:r w:rsidR="000C4B43">
        <w:rPr>
          <w:szCs w:val="26"/>
        </w:rPr>
        <w:t xml:space="preserve"> </w:t>
      </w:r>
      <w:r>
        <w:rPr>
          <w:szCs w:val="26"/>
        </w:rPr>
        <w:t>Péter, egyetemi tanár</w:t>
      </w:r>
    </w:p>
    <w:p w14:paraId="6451015E" w14:textId="11EC05FA" w:rsidR="00781D63" w:rsidRDefault="00781D63" w:rsidP="00C13D6F">
      <w:pPr>
        <w:jc w:val="center"/>
        <w:rPr>
          <w:szCs w:val="26"/>
        </w:rPr>
      </w:pPr>
      <w:r>
        <w:rPr>
          <w:szCs w:val="26"/>
        </w:rPr>
        <w:t xml:space="preserve">Témavezetők: </w:t>
      </w:r>
      <w:r w:rsidRPr="00145AAA">
        <w:rPr>
          <w:szCs w:val="26"/>
        </w:rPr>
        <w:t xml:space="preserve">Dr. </w:t>
      </w:r>
      <w:r>
        <w:rPr>
          <w:szCs w:val="26"/>
        </w:rPr>
        <w:t>Molnár Zsolt, egyetemi tanár és</w:t>
      </w:r>
    </w:p>
    <w:p w14:paraId="4686D828" w14:textId="4745EA70" w:rsidR="00781D63" w:rsidRPr="0098003C" w:rsidRDefault="00781D63" w:rsidP="006B43A3">
      <w:pPr>
        <w:jc w:val="center"/>
        <w:rPr>
          <w:szCs w:val="26"/>
        </w:rPr>
      </w:pPr>
      <w:r>
        <w:rPr>
          <w:szCs w:val="26"/>
        </w:rPr>
        <w:t xml:space="preserve">Dr. </w:t>
      </w:r>
      <w:proofErr w:type="spellStart"/>
      <w:r>
        <w:rPr>
          <w:szCs w:val="26"/>
        </w:rPr>
        <w:t>Ruszkai</w:t>
      </w:r>
      <w:proofErr w:type="spellEnd"/>
      <w:r>
        <w:rPr>
          <w:szCs w:val="26"/>
        </w:rPr>
        <w:t xml:space="preserve"> Zoltán, egyetemi adjunktus                                                        </w:t>
      </w:r>
    </w:p>
    <w:p w14:paraId="7970EE38" w14:textId="1D4FBBB3" w:rsidR="004D0D0A" w:rsidRPr="00ED4418" w:rsidRDefault="004D0D0A" w:rsidP="004D0D0A">
      <w:pPr>
        <w:pStyle w:val="Coverpagetitle"/>
      </w:pPr>
      <w:proofErr w:type="gramStart"/>
      <w:r>
        <w:lastRenderedPageBreak/>
        <w:t>Advanced</w:t>
      </w:r>
      <w:proofErr w:type="gramEnd"/>
      <w:r>
        <w:t xml:space="preserve"> strategies in improving outcomes during mechanical ventilation</w:t>
      </w:r>
    </w:p>
    <w:p w14:paraId="7C6FE316" w14:textId="77777777" w:rsidR="004D0D0A" w:rsidRPr="00ED4418" w:rsidRDefault="004D0D0A" w:rsidP="004D0D0A">
      <w:pPr>
        <w:pStyle w:val="Default"/>
        <w:spacing w:after="120"/>
        <w:jc w:val="center"/>
        <w:rPr>
          <w:b/>
          <w:bCs/>
          <w:sz w:val="28"/>
          <w:szCs w:val="28"/>
          <w:lang w:val="en-US"/>
        </w:rPr>
      </w:pPr>
      <w:r w:rsidRPr="00ED4418">
        <w:rPr>
          <w:b/>
          <w:bCs/>
          <w:sz w:val="28"/>
          <w:szCs w:val="28"/>
          <w:lang w:val="en-US"/>
        </w:rPr>
        <w:t>Ph.D. Thesis</w:t>
      </w:r>
    </w:p>
    <w:p w14:paraId="03D28848" w14:textId="77777777" w:rsidR="004D0D0A" w:rsidRPr="00ED4418" w:rsidRDefault="004D0D0A" w:rsidP="004D0D0A">
      <w:pPr>
        <w:pStyle w:val="Default"/>
        <w:spacing w:after="120"/>
        <w:jc w:val="both"/>
        <w:rPr>
          <w:sz w:val="28"/>
          <w:szCs w:val="28"/>
          <w:lang w:val="en-US"/>
        </w:rPr>
      </w:pPr>
    </w:p>
    <w:p w14:paraId="3EC2E149" w14:textId="720AD671" w:rsidR="004D0D0A" w:rsidRPr="00ED4418" w:rsidRDefault="004D0D0A" w:rsidP="004D0D0A">
      <w:pPr>
        <w:pStyle w:val="Default"/>
        <w:spacing w:after="120"/>
        <w:jc w:val="center"/>
        <w:rPr>
          <w:sz w:val="36"/>
          <w:szCs w:val="36"/>
          <w:lang w:val="en-US"/>
        </w:rPr>
      </w:pPr>
      <w:r>
        <w:rPr>
          <w:b/>
          <w:bCs/>
          <w:sz w:val="36"/>
          <w:szCs w:val="36"/>
          <w:lang w:val="en-US"/>
        </w:rPr>
        <w:t>Csenge Erzsébet Szigetváry, M.D.</w:t>
      </w:r>
    </w:p>
    <w:p w14:paraId="55499106" w14:textId="77777777" w:rsidR="004D0D0A" w:rsidRPr="00ED4418" w:rsidRDefault="004D0D0A" w:rsidP="004D0D0A">
      <w:pPr>
        <w:pStyle w:val="Default"/>
        <w:spacing w:after="120"/>
        <w:jc w:val="center"/>
        <w:rPr>
          <w:sz w:val="32"/>
          <w:szCs w:val="32"/>
          <w:lang w:val="en-US"/>
        </w:rPr>
      </w:pPr>
      <w:r w:rsidRPr="00ED4418">
        <w:rPr>
          <w:sz w:val="32"/>
          <w:szCs w:val="32"/>
          <w:lang w:val="en-US"/>
        </w:rPr>
        <w:t>Translational Medicine Program</w:t>
      </w:r>
    </w:p>
    <w:p w14:paraId="024D756A" w14:textId="2D8B710B" w:rsidR="004D0D0A" w:rsidRPr="00ED4418" w:rsidRDefault="004D0D0A" w:rsidP="004D0D0A">
      <w:pPr>
        <w:pStyle w:val="Default"/>
        <w:spacing w:after="120"/>
        <w:jc w:val="center"/>
        <w:rPr>
          <w:sz w:val="32"/>
          <w:szCs w:val="32"/>
          <w:lang w:val="en-US"/>
        </w:rPr>
      </w:pPr>
      <w:r w:rsidRPr="00787E54">
        <w:rPr>
          <w:sz w:val="32"/>
          <w:szCs w:val="32"/>
          <w:lang w:val="en-US"/>
        </w:rPr>
        <w:t>Pharmaceutical Sciences and Health Technologies</w:t>
      </w:r>
      <w:r w:rsidRPr="00ED4418">
        <w:rPr>
          <w:sz w:val="32"/>
          <w:szCs w:val="32"/>
          <w:lang w:val="en-US"/>
        </w:rPr>
        <w:t xml:space="preserve"> Division</w:t>
      </w:r>
    </w:p>
    <w:p w14:paraId="709E1C00" w14:textId="1E721597" w:rsidR="004D0D0A" w:rsidRPr="00ED4418" w:rsidRDefault="004D0D0A" w:rsidP="004D0D0A">
      <w:pPr>
        <w:pStyle w:val="Default"/>
        <w:spacing w:after="120"/>
        <w:jc w:val="center"/>
        <w:rPr>
          <w:sz w:val="32"/>
          <w:szCs w:val="32"/>
          <w:lang w:val="en-US"/>
        </w:rPr>
      </w:pPr>
      <w:r w:rsidRPr="00ED4418">
        <w:rPr>
          <w:sz w:val="32"/>
          <w:szCs w:val="32"/>
          <w:lang w:val="en-US"/>
        </w:rPr>
        <w:t>SEMMELWEIS UNIVERSITY</w:t>
      </w:r>
    </w:p>
    <w:p w14:paraId="7CA52A8E" w14:textId="38BDDD07" w:rsidR="004D0D0A" w:rsidRDefault="00BF27E2" w:rsidP="00BF27E2">
      <w:pPr>
        <w:pStyle w:val="Default"/>
        <w:spacing w:after="120"/>
        <w:jc w:val="center"/>
        <w:rPr>
          <w:sz w:val="32"/>
          <w:szCs w:val="32"/>
          <w:lang w:val="en-US"/>
        </w:rPr>
      </w:pPr>
      <w:r>
        <w:rPr>
          <w:noProof/>
          <w:sz w:val="32"/>
          <w:szCs w:val="32"/>
          <w:lang w:val="en-US"/>
        </w:rPr>
        <w:drawing>
          <wp:inline distT="0" distB="0" distL="0" distR="0" wp14:anchorId="66D51C20" wp14:editId="1B4FC396">
            <wp:extent cx="5578323" cy="1664352"/>
            <wp:effectExtent l="0" t="0" r="0" b="0"/>
            <wp:docPr id="779798012" name="Picture 1" descr="A group of logos with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98012" name="Picture 1" descr="A group of logos with leave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578323" cy="1664352"/>
                    </a:xfrm>
                    <a:prstGeom prst="rect">
                      <a:avLst/>
                    </a:prstGeom>
                  </pic:spPr>
                </pic:pic>
              </a:graphicData>
            </a:graphic>
          </wp:inline>
        </w:drawing>
      </w:r>
    </w:p>
    <w:p w14:paraId="062659C1" w14:textId="77777777" w:rsidR="00BF27E2" w:rsidRPr="00ED4418" w:rsidRDefault="00BF27E2" w:rsidP="004D0D0A">
      <w:pPr>
        <w:pStyle w:val="Default"/>
        <w:spacing w:after="120"/>
        <w:rPr>
          <w:sz w:val="32"/>
          <w:szCs w:val="32"/>
          <w:lang w:val="en-US"/>
        </w:rPr>
      </w:pPr>
    </w:p>
    <w:p w14:paraId="675E7269" w14:textId="0784BC4C" w:rsidR="004D0D0A" w:rsidRPr="00ED4418" w:rsidRDefault="004D0D0A" w:rsidP="004D0D0A">
      <w:pPr>
        <w:autoSpaceDE w:val="0"/>
        <w:autoSpaceDN w:val="0"/>
        <w:adjustRightInd w:val="0"/>
        <w:spacing w:line="240" w:lineRule="auto"/>
        <w:rPr>
          <w:rFonts w:cs="Times New Roman"/>
          <w:kern w:val="0"/>
          <w:lang w:val="en-US"/>
        </w:rPr>
      </w:pPr>
      <w:r w:rsidRPr="00ED4418">
        <w:rPr>
          <w:rFonts w:cs="Times New Roman"/>
          <w:kern w:val="0"/>
          <w:lang w:val="en-US"/>
        </w:rPr>
        <w:t xml:space="preserve">Supervisor: </w:t>
      </w:r>
      <w:r w:rsidRPr="00ED4418">
        <w:rPr>
          <w:rFonts w:cs="Times New Roman"/>
          <w:kern w:val="0"/>
          <w:lang w:val="en-US"/>
        </w:rPr>
        <w:tab/>
      </w:r>
      <w:r w:rsidRPr="00ED4418">
        <w:rPr>
          <w:rFonts w:cs="Times New Roman"/>
          <w:kern w:val="0"/>
          <w:lang w:val="en-US"/>
        </w:rPr>
        <w:tab/>
      </w:r>
      <w:r w:rsidRPr="00ED4418">
        <w:rPr>
          <w:rFonts w:cs="Times New Roman"/>
          <w:kern w:val="0"/>
          <w:lang w:val="en-US"/>
        </w:rPr>
        <w:tab/>
      </w:r>
      <w:r w:rsidRPr="00ED4418">
        <w:rPr>
          <w:rFonts w:cs="Times New Roman"/>
          <w:kern w:val="0"/>
          <w:lang w:val="en-US"/>
        </w:rPr>
        <w:tab/>
      </w:r>
      <w:r>
        <w:rPr>
          <w:rFonts w:cs="Times New Roman"/>
          <w:kern w:val="0"/>
          <w:lang w:val="en-US"/>
        </w:rPr>
        <w:t>Prof. Zsolt Molnár</w:t>
      </w:r>
      <w:r w:rsidRPr="007C138B">
        <w:rPr>
          <w:rFonts w:cs="Times New Roman"/>
          <w:kern w:val="0"/>
          <w:lang w:val="en-US"/>
        </w:rPr>
        <w:t xml:space="preserve">, </w:t>
      </w:r>
      <w:r w:rsidRPr="00787E54">
        <w:rPr>
          <w:rFonts w:cs="Times New Roman"/>
          <w:kern w:val="0"/>
          <w:lang w:val="en-US"/>
        </w:rPr>
        <w:t>M.D., Ph.D.</w:t>
      </w:r>
      <w:r w:rsidR="007C138B" w:rsidRPr="00787E54">
        <w:rPr>
          <w:rFonts w:cs="Times New Roman"/>
          <w:kern w:val="0"/>
          <w:lang w:val="en-US"/>
        </w:rPr>
        <w:t>, EDAIC</w:t>
      </w:r>
    </w:p>
    <w:p w14:paraId="2D58047B" w14:textId="57ED18E5" w:rsidR="004D0D0A" w:rsidRPr="00ED4418" w:rsidRDefault="004D0D0A" w:rsidP="004D0D0A">
      <w:pPr>
        <w:autoSpaceDE w:val="0"/>
        <w:autoSpaceDN w:val="0"/>
        <w:adjustRightInd w:val="0"/>
        <w:spacing w:line="240" w:lineRule="auto"/>
        <w:rPr>
          <w:rFonts w:cs="Times New Roman"/>
          <w:kern w:val="0"/>
          <w:lang w:val="en-US"/>
        </w:rPr>
      </w:pPr>
      <w:r w:rsidRPr="00ED4418">
        <w:rPr>
          <w:rFonts w:cs="Times New Roman"/>
          <w:kern w:val="0"/>
          <w:lang w:val="en-US"/>
        </w:rPr>
        <w:tab/>
      </w:r>
      <w:r w:rsidRPr="00ED4418">
        <w:rPr>
          <w:rFonts w:cs="Times New Roman"/>
          <w:kern w:val="0"/>
          <w:lang w:val="en-US"/>
        </w:rPr>
        <w:tab/>
      </w:r>
      <w:r w:rsidRPr="00ED4418">
        <w:rPr>
          <w:rFonts w:cs="Times New Roman"/>
          <w:kern w:val="0"/>
          <w:lang w:val="en-US"/>
        </w:rPr>
        <w:tab/>
      </w:r>
      <w:r w:rsidRPr="00ED4418">
        <w:rPr>
          <w:rFonts w:cs="Times New Roman"/>
          <w:kern w:val="0"/>
          <w:lang w:val="en-US"/>
        </w:rPr>
        <w:tab/>
      </w:r>
      <w:r w:rsidRPr="00ED4418">
        <w:rPr>
          <w:rFonts w:cs="Times New Roman"/>
          <w:kern w:val="0"/>
          <w:lang w:val="en-US"/>
        </w:rPr>
        <w:tab/>
      </w:r>
      <w:r w:rsidR="007C138B">
        <w:rPr>
          <w:rFonts w:cs="Times New Roman"/>
          <w:kern w:val="0"/>
          <w:lang w:val="en-US"/>
        </w:rPr>
        <w:t xml:space="preserve">Zoltán Ruszkai, </w:t>
      </w:r>
      <w:r w:rsidR="00C76C8C">
        <w:rPr>
          <w:rFonts w:cs="Times New Roman"/>
          <w:kern w:val="0"/>
          <w:lang w:val="en-US"/>
        </w:rPr>
        <w:t>M.D., Ph.D.</w:t>
      </w:r>
    </w:p>
    <w:p w14:paraId="296E672D" w14:textId="16BCA59A" w:rsidR="004D0D0A" w:rsidRDefault="004D0D0A" w:rsidP="0045467D">
      <w:pPr>
        <w:autoSpaceDE w:val="0"/>
        <w:autoSpaceDN w:val="0"/>
        <w:adjustRightInd w:val="0"/>
        <w:spacing w:line="240" w:lineRule="auto"/>
        <w:rPr>
          <w:rFonts w:cs="Times New Roman"/>
          <w:kern w:val="0"/>
          <w:lang w:val="en-US"/>
        </w:rPr>
      </w:pPr>
      <w:r w:rsidRPr="00ED4418">
        <w:rPr>
          <w:rFonts w:cs="Times New Roman"/>
          <w:kern w:val="0"/>
          <w:lang w:val="en-US"/>
        </w:rPr>
        <w:t>Official reviewers:</w:t>
      </w:r>
      <w:r w:rsidRPr="00ED4418">
        <w:rPr>
          <w:rFonts w:cs="Times New Roman"/>
          <w:kern w:val="0"/>
          <w:lang w:val="en-US"/>
        </w:rPr>
        <w:tab/>
      </w:r>
      <w:r w:rsidRPr="00ED4418">
        <w:rPr>
          <w:rFonts w:cs="Times New Roman"/>
          <w:kern w:val="0"/>
          <w:lang w:val="en-US"/>
        </w:rPr>
        <w:tab/>
      </w:r>
      <w:r w:rsidRPr="00ED4418">
        <w:rPr>
          <w:rFonts w:cs="Times New Roman"/>
          <w:kern w:val="0"/>
          <w:lang w:val="en-US"/>
        </w:rPr>
        <w:tab/>
      </w:r>
      <w:r w:rsidR="0045467D">
        <w:rPr>
          <w:rFonts w:cs="Times New Roman"/>
          <w:kern w:val="0"/>
          <w:lang w:val="en-US"/>
        </w:rPr>
        <w:t>Péter Kanizsai</w:t>
      </w:r>
      <w:r w:rsidR="003A38B1">
        <w:rPr>
          <w:rFonts w:cs="Times New Roman"/>
          <w:kern w:val="0"/>
          <w:lang w:val="en-US"/>
        </w:rPr>
        <w:t>,</w:t>
      </w:r>
      <w:r w:rsidR="0045467D">
        <w:rPr>
          <w:rFonts w:cs="Times New Roman"/>
          <w:kern w:val="0"/>
          <w:lang w:val="en-US"/>
        </w:rPr>
        <w:t xml:space="preserve"> M.D., Ph.D.</w:t>
      </w:r>
    </w:p>
    <w:p w14:paraId="4B0CFE33" w14:textId="2EA4D987" w:rsidR="0045467D" w:rsidRPr="00ED4418" w:rsidRDefault="0045467D" w:rsidP="0045467D">
      <w:pPr>
        <w:autoSpaceDE w:val="0"/>
        <w:autoSpaceDN w:val="0"/>
        <w:adjustRightInd w:val="0"/>
        <w:spacing w:line="240" w:lineRule="auto"/>
        <w:rPr>
          <w:rFonts w:cs="Times New Roman"/>
          <w:kern w:val="0"/>
          <w:lang w:val="en-US"/>
        </w:rPr>
      </w:pPr>
      <w:r>
        <w:rPr>
          <w:rFonts w:cs="Times New Roman"/>
          <w:kern w:val="0"/>
          <w:lang w:val="en-US"/>
        </w:rPr>
        <w:tab/>
      </w:r>
      <w:r>
        <w:rPr>
          <w:rFonts w:cs="Times New Roman"/>
          <w:kern w:val="0"/>
          <w:lang w:val="en-US"/>
        </w:rPr>
        <w:tab/>
      </w:r>
      <w:r>
        <w:rPr>
          <w:rFonts w:cs="Times New Roman"/>
          <w:kern w:val="0"/>
          <w:lang w:val="en-US"/>
        </w:rPr>
        <w:tab/>
      </w:r>
      <w:r>
        <w:rPr>
          <w:rFonts w:cs="Times New Roman"/>
          <w:kern w:val="0"/>
          <w:lang w:val="en-US"/>
        </w:rPr>
        <w:tab/>
      </w:r>
      <w:r>
        <w:rPr>
          <w:rFonts w:cs="Times New Roman"/>
          <w:kern w:val="0"/>
          <w:lang w:val="en-US"/>
        </w:rPr>
        <w:tab/>
      </w:r>
      <w:r w:rsidR="003A38B1">
        <w:rPr>
          <w:rFonts w:cs="Times New Roman"/>
          <w:kern w:val="0"/>
          <w:lang w:val="en-US"/>
        </w:rPr>
        <w:t>Octavian Andronic, M.D., Ph.D.</w:t>
      </w:r>
    </w:p>
    <w:p w14:paraId="0B78E7B1" w14:textId="77777777" w:rsidR="004D0D0A" w:rsidRPr="00ED4418" w:rsidRDefault="004D0D0A" w:rsidP="004D0D0A">
      <w:pPr>
        <w:autoSpaceDE w:val="0"/>
        <w:autoSpaceDN w:val="0"/>
        <w:adjustRightInd w:val="0"/>
        <w:spacing w:line="240" w:lineRule="auto"/>
        <w:rPr>
          <w:rFonts w:cs="Times New Roman"/>
          <w:kern w:val="0"/>
          <w:lang w:val="en-US"/>
        </w:rPr>
      </w:pPr>
    </w:p>
    <w:p w14:paraId="385D2993" w14:textId="77777777" w:rsidR="004D0D0A" w:rsidRPr="00ED4418" w:rsidRDefault="004D0D0A" w:rsidP="004D0D0A">
      <w:pPr>
        <w:autoSpaceDE w:val="0"/>
        <w:autoSpaceDN w:val="0"/>
        <w:adjustRightInd w:val="0"/>
        <w:spacing w:line="240" w:lineRule="auto"/>
        <w:rPr>
          <w:rFonts w:cs="Times New Roman"/>
          <w:kern w:val="0"/>
          <w:lang w:val="en-US"/>
        </w:rPr>
      </w:pPr>
      <w:r w:rsidRPr="00ED4418">
        <w:rPr>
          <w:rFonts w:cs="Times New Roman"/>
          <w:kern w:val="0"/>
          <w:lang w:val="en-US"/>
        </w:rPr>
        <w:t>Head of the Complex</w:t>
      </w:r>
    </w:p>
    <w:p w14:paraId="6910AFB0" w14:textId="31702E06" w:rsidR="004D0D0A" w:rsidRPr="00ED4418" w:rsidRDefault="004D0D0A" w:rsidP="004D0D0A">
      <w:pPr>
        <w:autoSpaceDE w:val="0"/>
        <w:autoSpaceDN w:val="0"/>
        <w:adjustRightInd w:val="0"/>
        <w:spacing w:line="240" w:lineRule="auto"/>
        <w:rPr>
          <w:rFonts w:cs="Times New Roman"/>
          <w:kern w:val="0"/>
          <w:lang w:val="en-US"/>
        </w:rPr>
      </w:pPr>
      <w:r w:rsidRPr="00ED4418">
        <w:rPr>
          <w:rFonts w:cs="Times New Roman"/>
          <w:kern w:val="0"/>
          <w:lang w:val="en-US"/>
        </w:rPr>
        <w:t xml:space="preserve">Examination Committee: </w:t>
      </w:r>
      <w:r w:rsidRPr="00ED4418">
        <w:rPr>
          <w:rFonts w:cs="Times New Roman"/>
          <w:kern w:val="0"/>
          <w:lang w:val="en-US"/>
        </w:rPr>
        <w:tab/>
      </w:r>
      <w:r w:rsidRPr="00ED4418">
        <w:rPr>
          <w:rFonts w:cs="Times New Roman"/>
          <w:kern w:val="0"/>
          <w:lang w:val="en-US"/>
        </w:rPr>
        <w:tab/>
      </w:r>
      <w:r w:rsidR="00C76C8C" w:rsidRPr="00C76C8C">
        <w:rPr>
          <w:rFonts w:cs="Times New Roman"/>
          <w:kern w:val="0"/>
          <w:lang w:val="en-US"/>
        </w:rPr>
        <w:t>Prof. Endre Zima, M.D., Ph.D.</w:t>
      </w:r>
    </w:p>
    <w:p w14:paraId="4030D11F" w14:textId="77777777" w:rsidR="004D0D0A" w:rsidRPr="00ED4418" w:rsidRDefault="004D0D0A" w:rsidP="004D0D0A">
      <w:pPr>
        <w:autoSpaceDE w:val="0"/>
        <w:autoSpaceDN w:val="0"/>
        <w:adjustRightInd w:val="0"/>
        <w:spacing w:line="240" w:lineRule="auto"/>
        <w:rPr>
          <w:rFonts w:cs="Times New Roman"/>
          <w:kern w:val="0"/>
          <w:lang w:val="en-US"/>
        </w:rPr>
      </w:pPr>
      <w:r w:rsidRPr="00ED4418">
        <w:rPr>
          <w:rFonts w:cs="Times New Roman"/>
          <w:kern w:val="0"/>
          <w:lang w:val="en-US"/>
        </w:rPr>
        <w:t>Members of the Complex</w:t>
      </w:r>
    </w:p>
    <w:p w14:paraId="76D49FFC" w14:textId="50987EDB" w:rsidR="00C76C8C" w:rsidRDefault="004D0D0A" w:rsidP="006942A7">
      <w:pPr>
        <w:autoSpaceDE w:val="0"/>
        <w:autoSpaceDN w:val="0"/>
        <w:adjustRightInd w:val="0"/>
        <w:spacing w:line="240" w:lineRule="auto"/>
        <w:rPr>
          <w:lang w:val="en-US"/>
        </w:rPr>
      </w:pPr>
      <w:r w:rsidRPr="00ED4418">
        <w:rPr>
          <w:rFonts w:cs="Times New Roman"/>
          <w:kern w:val="0"/>
          <w:lang w:val="en-US"/>
        </w:rPr>
        <w:t xml:space="preserve">Examination Committee: </w:t>
      </w:r>
      <w:r w:rsidRPr="00ED4418">
        <w:rPr>
          <w:rFonts w:cs="Times New Roman"/>
          <w:kern w:val="0"/>
          <w:lang w:val="en-US"/>
        </w:rPr>
        <w:tab/>
      </w:r>
      <w:r w:rsidRPr="00ED4418">
        <w:rPr>
          <w:rFonts w:cs="Times New Roman"/>
          <w:kern w:val="0"/>
          <w:lang w:val="en-US"/>
        </w:rPr>
        <w:tab/>
      </w:r>
      <w:r w:rsidR="00C76C8C" w:rsidRPr="00AC7DBB">
        <w:rPr>
          <w:lang w:val="en-US"/>
        </w:rPr>
        <w:t xml:space="preserve">Prof. Mitja </w:t>
      </w:r>
      <w:proofErr w:type="spellStart"/>
      <w:r w:rsidR="00C76C8C" w:rsidRPr="00AC7DBB">
        <w:rPr>
          <w:lang w:val="en-US"/>
        </w:rPr>
        <w:t>Lainscak</w:t>
      </w:r>
      <w:proofErr w:type="spellEnd"/>
      <w:r w:rsidR="00C76C8C" w:rsidRPr="00AC7DBB">
        <w:rPr>
          <w:lang w:val="en-US"/>
        </w:rPr>
        <w:t xml:space="preserve"> M.D., Ph.D</w:t>
      </w:r>
      <w:r w:rsidR="00C76C8C">
        <w:rPr>
          <w:lang w:val="en-US"/>
        </w:rPr>
        <w:t>.</w:t>
      </w:r>
    </w:p>
    <w:p w14:paraId="6AC13DC7" w14:textId="73D21CC3" w:rsidR="004D0D0A" w:rsidRDefault="00C76C8C" w:rsidP="00C76C8C">
      <w:pPr>
        <w:autoSpaceDE w:val="0"/>
        <w:autoSpaceDN w:val="0"/>
        <w:adjustRightInd w:val="0"/>
        <w:spacing w:line="240" w:lineRule="auto"/>
        <w:ind w:left="2832" w:firstLine="708"/>
        <w:rPr>
          <w:rFonts w:cs="Times New Roman"/>
          <w:kern w:val="0"/>
          <w:lang w:val="en-US"/>
        </w:rPr>
      </w:pPr>
      <w:r w:rsidRPr="00A2243D">
        <w:rPr>
          <w:lang w:val="en-US"/>
        </w:rPr>
        <w:t>Kinga Farkas, M.D., Ph.D.</w:t>
      </w:r>
    </w:p>
    <w:p w14:paraId="1CEF1687" w14:textId="3A78AC16" w:rsidR="00C76C8C" w:rsidRDefault="00FE4EF8" w:rsidP="00C76C8C">
      <w:pPr>
        <w:autoSpaceDE w:val="0"/>
        <w:autoSpaceDN w:val="0"/>
        <w:adjustRightInd w:val="0"/>
        <w:spacing w:line="240" w:lineRule="auto"/>
        <w:ind w:left="2832" w:firstLine="708"/>
        <w:rPr>
          <w:rFonts w:cs="Times New Roman"/>
          <w:color w:val="000000" w:themeColor="text1"/>
          <w:kern w:val="0"/>
          <w:lang w:val="en-US"/>
        </w:rPr>
      </w:pPr>
      <w:r w:rsidRPr="00787E54">
        <w:rPr>
          <w:rFonts w:cs="Times New Roman"/>
          <w:color w:val="000000" w:themeColor="text1"/>
          <w:kern w:val="0"/>
          <w:lang w:val="en-US"/>
        </w:rPr>
        <w:t>Péter Fehérvári</w:t>
      </w:r>
      <w:r w:rsidR="00DE700B">
        <w:rPr>
          <w:rFonts w:cs="Times New Roman"/>
          <w:color w:val="000000" w:themeColor="text1"/>
          <w:kern w:val="0"/>
          <w:lang w:val="en-US"/>
        </w:rPr>
        <w:t xml:space="preserve"> D</w:t>
      </w:r>
      <w:r w:rsidR="006E4C74">
        <w:rPr>
          <w:rFonts w:cs="Times New Roman"/>
          <w:color w:val="000000" w:themeColor="text1"/>
          <w:kern w:val="0"/>
          <w:lang w:val="en-US"/>
        </w:rPr>
        <w:t>.</w:t>
      </w:r>
      <w:r w:rsidR="00DE700B">
        <w:rPr>
          <w:rFonts w:cs="Times New Roman"/>
          <w:color w:val="000000" w:themeColor="text1"/>
          <w:kern w:val="0"/>
          <w:lang w:val="en-US"/>
        </w:rPr>
        <w:t>Sc., Ph.D.</w:t>
      </w:r>
    </w:p>
    <w:p w14:paraId="61AE439D" w14:textId="77777777" w:rsidR="00EC3D21" w:rsidRDefault="00EC3D21" w:rsidP="00C76C8C">
      <w:pPr>
        <w:autoSpaceDE w:val="0"/>
        <w:autoSpaceDN w:val="0"/>
        <w:adjustRightInd w:val="0"/>
        <w:spacing w:line="240" w:lineRule="auto"/>
        <w:ind w:left="2832" w:firstLine="708"/>
        <w:rPr>
          <w:rFonts w:cs="Times New Roman"/>
          <w:color w:val="000000" w:themeColor="text1"/>
          <w:kern w:val="0"/>
          <w:lang w:val="en-US"/>
        </w:rPr>
      </w:pPr>
    </w:p>
    <w:p w14:paraId="126BDF40" w14:textId="77777777" w:rsidR="004D0D0A" w:rsidRPr="00ED4418" w:rsidRDefault="004D0D0A" w:rsidP="004D0D0A">
      <w:pPr>
        <w:autoSpaceDE w:val="0"/>
        <w:autoSpaceDN w:val="0"/>
        <w:adjustRightInd w:val="0"/>
        <w:spacing w:line="240" w:lineRule="auto"/>
        <w:jc w:val="center"/>
        <w:rPr>
          <w:rFonts w:cs="Times New Roman"/>
          <w:kern w:val="0"/>
          <w:sz w:val="36"/>
          <w:szCs w:val="36"/>
          <w:lang w:val="en-US"/>
        </w:rPr>
      </w:pPr>
      <w:r w:rsidRPr="00ED4418">
        <w:rPr>
          <w:rFonts w:cs="Times New Roman"/>
          <w:kern w:val="0"/>
          <w:sz w:val="36"/>
          <w:szCs w:val="36"/>
          <w:lang w:val="en-US"/>
        </w:rPr>
        <w:t>Budapest</w:t>
      </w:r>
    </w:p>
    <w:p w14:paraId="44A33A7E" w14:textId="77777777" w:rsidR="008F058F" w:rsidRDefault="004D0D0A" w:rsidP="004D0D0A">
      <w:pPr>
        <w:autoSpaceDE w:val="0"/>
        <w:autoSpaceDN w:val="0"/>
        <w:adjustRightInd w:val="0"/>
        <w:spacing w:line="240" w:lineRule="auto"/>
        <w:jc w:val="center"/>
        <w:rPr>
          <w:rFonts w:cs="Times New Roman"/>
          <w:kern w:val="0"/>
          <w:sz w:val="36"/>
          <w:szCs w:val="36"/>
          <w:lang w:val="en-US"/>
        </w:rPr>
        <w:sectPr w:rsidR="008F058F" w:rsidSect="004D0D0A">
          <w:footerReference w:type="first" r:id="rId9"/>
          <w:pgSz w:w="11906" w:h="16838"/>
          <w:pgMar w:top="1417" w:right="1417" w:bottom="1417" w:left="1417" w:header="708" w:footer="708" w:gutter="0"/>
          <w:cols w:space="708"/>
          <w:docGrid w:linePitch="360"/>
        </w:sectPr>
      </w:pPr>
      <w:r w:rsidRPr="00ED4418">
        <w:rPr>
          <w:rFonts w:cs="Times New Roman"/>
          <w:kern w:val="0"/>
          <w:sz w:val="36"/>
          <w:szCs w:val="36"/>
          <w:lang w:val="en-US"/>
        </w:rPr>
        <w:t>2025</w:t>
      </w:r>
    </w:p>
    <w:p w14:paraId="3E58D5CF" w14:textId="77777777" w:rsidR="004D0D0A" w:rsidRPr="00ED4418" w:rsidRDefault="004D0D0A" w:rsidP="004D0D0A">
      <w:pPr>
        <w:rPr>
          <w:rFonts w:cs="Times New Roman"/>
          <w:b/>
          <w:bCs/>
          <w:lang w:val="en-US"/>
        </w:rPr>
      </w:pPr>
    </w:p>
    <w:p w14:paraId="710F40A3" w14:textId="77777777" w:rsidR="004D0D0A" w:rsidRPr="00ED4418" w:rsidRDefault="004D0D0A" w:rsidP="004D0D0A">
      <w:pPr>
        <w:rPr>
          <w:lang w:val="en-US"/>
        </w:rPr>
      </w:pPr>
    </w:p>
    <w:p w14:paraId="712F9044" w14:textId="77777777" w:rsidR="004D0D0A" w:rsidRPr="00ED4418" w:rsidRDefault="004D0D0A" w:rsidP="004D0D0A">
      <w:pPr>
        <w:rPr>
          <w:lang w:val="en-US"/>
        </w:rPr>
      </w:pPr>
    </w:p>
    <w:p w14:paraId="48BE8600" w14:textId="77777777" w:rsidR="004D0D0A" w:rsidRPr="00ED4418" w:rsidRDefault="004D0D0A" w:rsidP="004D0D0A">
      <w:pPr>
        <w:rPr>
          <w:lang w:val="en-US"/>
        </w:rPr>
      </w:pPr>
    </w:p>
    <w:p w14:paraId="50278D3C" w14:textId="59C39A96" w:rsidR="004D0D0A" w:rsidRPr="00ED4418" w:rsidRDefault="004D0D0A" w:rsidP="00FD118A">
      <w:pPr>
        <w:jc w:val="left"/>
        <w:rPr>
          <w:b/>
          <w:bCs/>
          <w:i/>
          <w:iCs/>
          <w:sz w:val="44"/>
          <w:szCs w:val="44"/>
          <w:lang w:val="en-US"/>
        </w:rPr>
      </w:pPr>
      <w:r w:rsidRPr="00ED4418">
        <w:rPr>
          <w:b/>
          <w:bCs/>
          <w:i/>
          <w:iCs/>
          <w:sz w:val="44"/>
          <w:szCs w:val="44"/>
          <w:lang w:val="en-US"/>
        </w:rPr>
        <w:t>“</w:t>
      </w:r>
      <w:r w:rsidR="00946FFB" w:rsidRPr="00946FFB">
        <w:rPr>
          <w:b/>
          <w:bCs/>
          <w:i/>
          <w:iCs/>
          <w:sz w:val="44"/>
          <w:szCs w:val="44"/>
        </w:rPr>
        <w:t>Ha percnyi léted súlyától legörnyedsz,</w:t>
      </w:r>
      <w:r w:rsidR="00946FFB" w:rsidRPr="00946FFB">
        <w:rPr>
          <w:b/>
          <w:bCs/>
          <w:i/>
          <w:iCs/>
          <w:sz w:val="44"/>
          <w:szCs w:val="44"/>
        </w:rPr>
        <w:br/>
        <w:t>Emel majd a végetlen érzete.</w:t>
      </w:r>
      <w:r w:rsidR="00946FFB" w:rsidRPr="00946FFB">
        <w:rPr>
          <w:b/>
          <w:bCs/>
          <w:i/>
          <w:iCs/>
          <w:sz w:val="44"/>
          <w:szCs w:val="44"/>
        </w:rPr>
        <w:br/>
        <w:t>S ha ennek elragadna büszkesége,</w:t>
      </w:r>
      <w:r w:rsidR="00946FFB" w:rsidRPr="00946FFB">
        <w:rPr>
          <w:b/>
          <w:bCs/>
          <w:i/>
          <w:iCs/>
          <w:sz w:val="44"/>
          <w:szCs w:val="44"/>
        </w:rPr>
        <w:br/>
        <w:t>Fog korlátozni az arasznyi lét.</w:t>
      </w:r>
      <w:r w:rsidRPr="00946FFB">
        <w:rPr>
          <w:b/>
          <w:bCs/>
          <w:i/>
          <w:iCs/>
          <w:sz w:val="44"/>
          <w:szCs w:val="44"/>
          <w:lang w:val="en-US"/>
        </w:rPr>
        <w:t>”</w:t>
      </w:r>
    </w:p>
    <w:p w14:paraId="18620B78" w14:textId="5EACBB25" w:rsidR="004D0D0A" w:rsidRPr="00ED4418" w:rsidRDefault="00946FFB" w:rsidP="004D0D0A">
      <w:pPr>
        <w:rPr>
          <w:sz w:val="28"/>
          <w:szCs w:val="28"/>
          <w:lang w:val="en-US"/>
        </w:rPr>
      </w:pPr>
      <w:r>
        <w:rPr>
          <w:sz w:val="28"/>
          <w:szCs w:val="28"/>
          <w:lang w:val="en-US"/>
        </w:rPr>
        <w:t>MADÁCH IMRE</w:t>
      </w:r>
    </w:p>
    <w:p w14:paraId="513F76E7" w14:textId="77777777" w:rsidR="0028274A" w:rsidRDefault="0028274A">
      <w:pPr>
        <w:spacing w:line="278" w:lineRule="auto"/>
        <w:jc w:val="left"/>
        <w:rPr>
          <w:lang w:val="en-US"/>
        </w:rPr>
      </w:pPr>
    </w:p>
    <w:p w14:paraId="282E3388" w14:textId="5640542B" w:rsidR="00706735" w:rsidRDefault="00706735">
      <w:pPr>
        <w:spacing w:line="278" w:lineRule="auto"/>
        <w:jc w:val="left"/>
        <w:rPr>
          <w:rFonts w:eastAsiaTheme="majorEastAsia" w:cstheme="majorBidi"/>
          <w:b/>
          <w:szCs w:val="40"/>
          <w:lang w:val="en-US"/>
        </w:rPr>
      </w:pPr>
      <w:r>
        <w:rPr>
          <w:rFonts w:eastAsiaTheme="majorEastAsia" w:cstheme="majorBidi"/>
          <w:b/>
          <w:szCs w:val="40"/>
          <w:lang w:val="en-US"/>
        </w:rPr>
        <w:br w:type="page"/>
      </w:r>
    </w:p>
    <w:sdt>
      <w:sdtPr>
        <w:rPr>
          <w:rFonts w:ascii="Times New Roman" w:eastAsiaTheme="minorHAnsi" w:hAnsi="Times New Roman" w:cstheme="minorBidi"/>
          <w:color w:val="auto"/>
          <w:kern w:val="2"/>
          <w:sz w:val="24"/>
          <w:szCs w:val="24"/>
          <w:lang w:val="hu-HU"/>
          <w14:ligatures w14:val="standardContextual"/>
        </w:rPr>
        <w:id w:val="-1991621266"/>
        <w:docPartObj>
          <w:docPartGallery w:val="Table of Contents"/>
          <w:docPartUnique/>
        </w:docPartObj>
      </w:sdtPr>
      <w:sdtEndPr>
        <w:rPr>
          <w:b/>
          <w:bCs/>
          <w:noProof/>
        </w:rPr>
      </w:sdtEndPr>
      <w:sdtContent>
        <w:p w14:paraId="37D730F4" w14:textId="3CD6BD1C" w:rsidR="00114B56" w:rsidRPr="00787E54" w:rsidRDefault="00114B56" w:rsidP="00114B56">
          <w:pPr>
            <w:pStyle w:val="TOCHeading"/>
            <w:rPr>
              <w:rFonts w:ascii="Times New Roman" w:hAnsi="Times New Roman" w:cs="Times New Roman"/>
              <w:color w:val="000000" w:themeColor="text1"/>
            </w:rPr>
          </w:pPr>
          <w:r w:rsidRPr="00787E54">
            <w:rPr>
              <w:rFonts w:ascii="Times New Roman" w:hAnsi="Times New Roman" w:cs="Times New Roman"/>
              <w:color w:val="000000" w:themeColor="text1"/>
            </w:rPr>
            <w:t>TABLE OF CONTENT</w:t>
          </w:r>
        </w:p>
        <w:p w14:paraId="43D32B8E" w14:textId="31891203" w:rsidR="006B43A3" w:rsidRDefault="005703D4">
          <w:pPr>
            <w:pStyle w:val="TOC1"/>
            <w:tabs>
              <w:tab w:val="right" w:leader="dot" w:pos="8494"/>
            </w:tabs>
            <w:rPr>
              <w:rFonts w:asciiTheme="minorHAnsi" w:eastAsiaTheme="minorEastAsia" w:hAnsiTheme="minorHAnsi"/>
              <w:noProof/>
              <w:lang w:val="en-US"/>
            </w:rPr>
          </w:pPr>
          <w:r>
            <w:fldChar w:fldCharType="begin"/>
          </w:r>
          <w:r>
            <w:instrText xml:space="preserve"> TOC \o "1-3" \h \z \u </w:instrText>
          </w:r>
          <w:r>
            <w:fldChar w:fldCharType="separate"/>
          </w:r>
          <w:hyperlink w:anchor="_Toc211542180" w:history="1">
            <w:r w:rsidR="006B43A3" w:rsidRPr="00484C5A">
              <w:rPr>
                <w:rStyle w:val="Hyperlink"/>
                <w:noProof/>
                <w:lang w:val="en-US"/>
              </w:rPr>
              <w:t xml:space="preserve">1. </w:t>
            </w:r>
            <w:r w:rsidR="006B43A3" w:rsidRPr="00484C5A">
              <w:rPr>
                <w:rStyle w:val="Hyperlink"/>
                <w:caps/>
                <w:noProof/>
                <w:lang w:val="en-US"/>
              </w:rPr>
              <w:t>LIST</w:t>
            </w:r>
            <w:r w:rsidR="006B43A3" w:rsidRPr="00484C5A">
              <w:rPr>
                <w:rStyle w:val="Hyperlink"/>
                <w:noProof/>
                <w:lang w:val="en-US"/>
              </w:rPr>
              <w:t xml:space="preserve"> OF ABBREVIATIONS</w:t>
            </w:r>
            <w:r w:rsidR="006B43A3">
              <w:rPr>
                <w:noProof/>
                <w:webHidden/>
              </w:rPr>
              <w:tab/>
            </w:r>
            <w:r w:rsidR="006B43A3">
              <w:rPr>
                <w:noProof/>
                <w:webHidden/>
              </w:rPr>
              <w:fldChar w:fldCharType="begin"/>
            </w:r>
            <w:r w:rsidR="006B43A3">
              <w:rPr>
                <w:noProof/>
                <w:webHidden/>
              </w:rPr>
              <w:instrText xml:space="preserve"> PAGEREF _Toc211542180 \h </w:instrText>
            </w:r>
            <w:r w:rsidR="006B43A3">
              <w:rPr>
                <w:noProof/>
                <w:webHidden/>
              </w:rPr>
            </w:r>
            <w:r w:rsidR="006B43A3">
              <w:rPr>
                <w:noProof/>
                <w:webHidden/>
              </w:rPr>
              <w:fldChar w:fldCharType="separate"/>
            </w:r>
            <w:r w:rsidR="006B43A3">
              <w:rPr>
                <w:noProof/>
                <w:webHidden/>
              </w:rPr>
              <w:t>5</w:t>
            </w:r>
            <w:r w:rsidR="006B43A3">
              <w:rPr>
                <w:noProof/>
                <w:webHidden/>
              </w:rPr>
              <w:fldChar w:fldCharType="end"/>
            </w:r>
          </w:hyperlink>
        </w:p>
        <w:p w14:paraId="173AB14B" w14:textId="6998A3C6" w:rsidR="006B43A3" w:rsidRDefault="006B43A3">
          <w:pPr>
            <w:pStyle w:val="TOC1"/>
            <w:tabs>
              <w:tab w:val="right" w:leader="dot" w:pos="8494"/>
            </w:tabs>
            <w:rPr>
              <w:rFonts w:asciiTheme="minorHAnsi" w:eastAsiaTheme="minorEastAsia" w:hAnsiTheme="minorHAnsi"/>
              <w:noProof/>
              <w:lang w:val="en-US"/>
            </w:rPr>
          </w:pPr>
          <w:hyperlink w:anchor="_Toc211542181" w:history="1">
            <w:r w:rsidRPr="00484C5A">
              <w:rPr>
                <w:rStyle w:val="Hyperlink"/>
                <w:noProof/>
                <w:lang w:val="en-US"/>
              </w:rPr>
              <w:t>2. STUDENT PROFILE</w:t>
            </w:r>
            <w:r>
              <w:rPr>
                <w:noProof/>
                <w:webHidden/>
              </w:rPr>
              <w:tab/>
            </w:r>
            <w:r>
              <w:rPr>
                <w:noProof/>
                <w:webHidden/>
              </w:rPr>
              <w:fldChar w:fldCharType="begin"/>
            </w:r>
            <w:r>
              <w:rPr>
                <w:noProof/>
                <w:webHidden/>
              </w:rPr>
              <w:instrText xml:space="preserve"> PAGEREF _Toc211542181 \h </w:instrText>
            </w:r>
            <w:r>
              <w:rPr>
                <w:noProof/>
                <w:webHidden/>
              </w:rPr>
            </w:r>
            <w:r>
              <w:rPr>
                <w:noProof/>
                <w:webHidden/>
              </w:rPr>
              <w:fldChar w:fldCharType="separate"/>
            </w:r>
            <w:r>
              <w:rPr>
                <w:noProof/>
                <w:webHidden/>
              </w:rPr>
              <w:t>7</w:t>
            </w:r>
            <w:r>
              <w:rPr>
                <w:noProof/>
                <w:webHidden/>
              </w:rPr>
              <w:fldChar w:fldCharType="end"/>
            </w:r>
          </w:hyperlink>
        </w:p>
        <w:p w14:paraId="41B04165" w14:textId="02DC7CF6" w:rsidR="006B43A3" w:rsidRDefault="006B43A3">
          <w:pPr>
            <w:pStyle w:val="TOC2"/>
            <w:tabs>
              <w:tab w:val="right" w:leader="dot" w:pos="8494"/>
            </w:tabs>
            <w:rPr>
              <w:rFonts w:asciiTheme="minorHAnsi" w:eastAsiaTheme="minorEastAsia" w:hAnsiTheme="minorHAnsi"/>
              <w:noProof/>
              <w:lang w:val="en-US"/>
            </w:rPr>
          </w:pPr>
          <w:hyperlink w:anchor="_Toc211542182" w:history="1">
            <w:r w:rsidRPr="00484C5A">
              <w:rPr>
                <w:rStyle w:val="Hyperlink"/>
                <w:noProof/>
                <w:lang w:val="en-US"/>
              </w:rPr>
              <w:t>2.1. Vision and mission statement, specific goals</w:t>
            </w:r>
            <w:r>
              <w:rPr>
                <w:noProof/>
                <w:webHidden/>
              </w:rPr>
              <w:tab/>
            </w:r>
            <w:r>
              <w:rPr>
                <w:noProof/>
                <w:webHidden/>
              </w:rPr>
              <w:fldChar w:fldCharType="begin"/>
            </w:r>
            <w:r>
              <w:rPr>
                <w:noProof/>
                <w:webHidden/>
              </w:rPr>
              <w:instrText xml:space="preserve"> PAGEREF _Toc211542182 \h </w:instrText>
            </w:r>
            <w:r>
              <w:rPr>
                <w:noProof/>
                <w:webHidden/>
              </w:rPr>
            </w:r>
            <w:r>
              <w:rPr>
                <w:noProof/>
                <w:webHidden/>
              </w:rPr>
              <w:fldChar w:fldCharType="separate"/>
            </w:r>
            <w:r>
              <w:rPr>
                <w:noProof/>
                <w:webHidden/>
              </w:rPr>
              <w:t>7</w:t>
            </w:r>
            <w:r>
              <w:rPr>
                <w:noProof/>
                <w:webHidden/>
              </w:rPr>
              <w:fldChar w:fldCharType="end"/>
            </w:r>
          </w:hyperlink>
        </w:p>
        <w:p w14:paraId="21C98D8B" w14:textId="63518F78" w:rsidR="006B43A3" w:rsidRDefault="006B43A3">
          <w:pPr>
            <w:pStyle w:val="TOC2"/>
            <w:tabs>
              <w:tab w:val="right" w:leader="dot" w:pos="8494"/>
            </w:tabs>
            <w:rPr>
              <w:rFonts w:asciiTheme="minorHAnsi" w:eastAsiaTheme="minorEastAsia" w:hAnsiTheme="minorHAnsi"/>
              <w:noProof/>
              <w:lang w:val="en-US"/>
            </w:rPr>
          </w:pPr>
          <w:hyperlink w:anchor="_Toc211542183" w:history="1">
            <w:r w:rsidRPr="00484C5A">
              <w:rPr>
                <w:rStyle w:val="Hyperlink"/>
                <w:noProof/>
                <w:lang w:val="en-US"/>
              </w:rPr>
              <w:t>2.2. Scientometrics</w:t>
            </w:r>
            <w:r>
              <w:rPr>
                <w:noProof/>
                <w:webHidden/>
              </w:rPr>
              <w:tab/>
            </w:r>
            <w:r>
              <w:rPr>
                <w:noProof/>
                <w:webHidden/>
              </w:rPr>
              <w:fldChar w:fldCharType="begin"/>
            </w:r>
            <w:r>
              <w:rPr>
                <w:noProof/>
                <w:webHidden/>
              </w:rPr>
              <w:instrText xml:space="preserve"> PAGEREF _Toc211542183 \h </w:instrText>
            </w:r>
            <w:r>
              <w:rPr>
                <w:noProof/>
                <w:webHidden/>
              </w:rPr>
            </w:r>
            <w:r>
              <w:rPr>
                <w:noProof/>
                <w:webHidden/>
              </w:rPr>
              <w:fldChar w:fldCharType="separate"/>
            </w:r>
            <w:r>
              <w:rPr>
                <w:noProof/>
                <w:webHidden/>
              </w:rPr>
              <w:t>7</w:t>
            </w:r>
            <w:r>
              <w:rPr>
                <w:noProof/>
                <w:webHidden/>
              </w:rPr>
              <w:fldChar w:fldCharType="end"/>
            </w:r>
          </w:hyperlink>
        </w:p>
        <w:p w14:paraId="4C47DCC5" w14:textId="6BE437FC" w:rsidR="006B43A3" w:rsidRDefault="006B43A3">
          <w:pPr>
            <w:pStyle w:val="TOC2"/>
            <w:tabs>
              <w:tab w:val="right" w:leader="dot" w:pos="8494"/>
            </w:tabs>
            <w:rPr>
              <w:rFonts w:asciiTheme="minorHAnsi" w:eastAsiaTheme="minorEastAsia" w:hAnsiTheme="minorHAnsi"/>
              <w:noProof/>
              <w:lang w:val="en-US"/>
            </w:rPr>
          </w:pPr>
          <w:hyperlink w:anchor="_Toc211542184" w:history="1">
            <w:r w:rsidRPr="00484C5A">
              <w:rPr>
                <w:rStyle w:val="Hyperlink"/>
                <w:noProof/>
                <w:lang w:val="en-US"/>
              </w:rPr>
              <w:t>2.3. Future plans</w:t>
            </w:r>
            <w:r>
              <w:rPr>
                <w:noProof/>
                <w:webHidden/>
              </w:rPr>
              <w:tab/>
            </w:r>
            <w:r>
              <w:rPr>
                <w:noProof/>
                <w:webHidden/>
              </w:rPr>
              <w:fldChar w:fldCharType="begin"/>
            </w:r>
            <w:r>
              <w:rPr>
                <w:noProof/>
                <w:webHidden/>
              </w:rPr>
              <w:instrText xml:space="preserve"> PAGEREF _Toc211542184 \h </w:instrText>
            </w:r>
            <w:r>
              <w:rPr>
                <w:noProof/>
                <w:webHidden/>
              </w:rPr>
            </w:r>
            <w:r>
              <w:rPr>
                <w:noProof/>
                <w:webHidden/>
              </w:rPr>
              <w:fldChar w:fldCharType="separate"/>
            </w:r>
            <w:r>
              <w:rPr>
                <w:noProof/>
                <w:webHidden/>
              </w:rPr>
              <w:t>7</w:t>
            </w:r>
            <w:r>
              <w:rPr>
                <w:noProof/>
                <w:webHidden/>
              </w:rPr>
              <w:fldChar w:fldCharType="end"/>
            </w:r>
          </w:hyperlink>
        </w:p>
        <w:p w14:paraId="7BED5225" w14:textId="3F5F940E" w:rsidR="006B43A3" w:rsidRDefault="006B43A3">
          <w:pPr>
            <w:pStyle w:val="TOC1"/>
            <w:tabs>
              <w:tab w:val="right" w:leader="dot" w:pos="8494"/>
            </w:tabs>
            <w:rPr>
              <w:rFonts w:asciiTheme="minorHAnsi" w:eastAsiaTheme="minorEastAsia" w:hAnsiTheme="minorHAnsi"/>
              <w:noProof/>
              <w:lang w:val="en-US"/>
            </w:rPr>
          </w:pPr>
          <w:hyperlink w:anchor="_Toc211542185" w:history="1">
            <w:r w:rsidRPr="00484C5A">
              <w:rPr>
                <w:rStyle w:val="Hyperlink"/>
                <w:noProof/>
                <w:lang w:val="en-US"/>
              </w:rPr>
              <w:t>3. SUMMARY OF THE THESIS</w:t>
            </w:r>
            <w:r>
              <w:rPr>
                <w:noProof/>
                <w:webHidden/>
              </w:rPr>
              <w:tab/>
            </w:r>
            <w:r>
              <w:rPr>
                <w:noProof/>
                <w:webHidden/>
              </w:rPr>
              <w:fldChar w:fldCharType="begin"/>
            </w:r>
            <w:r>
              <w:rPr>
                <w:noProof/>
                <w:webHidden/>
              </w:rPr>
              <w:instrText xml:space="preserve"> PAGEREF _Toc211542185 \h </w:instrText>
            </w:r>
            <w:r>
              <w:rPr>
                <w:noProof/>
                <w:webHidden/>
              </w:rPr>
            </w:r>
            <w:r>
              <w:rPr>
                <w:noProof/>
                <w:webHidden/>
              </w:rPr>
              <w:fldChar w:fldCharType="separate"/>
            </w:r>
            <w:r>
              <w:rPr>
                <w:noProof/>
                <w:webHidden/>
              </w:rPr>
              <w:t>8</w:t>
            </w:r>
            <w:r>
              <w:rPr>
                <w:noProof/>
                <w:webHidden/>
              </w:rPr>
              <w:fldChar w:fldCharType="end"/>
            </w:r>
          </w:hyperlink>
        </w:p>
        <w:p w14:paraId="5A755AD0" w14:textId="64A021DD" w:rsidR="006B43A3" w:rsidRDefault="006B43A3">
          <w:pPr>
            <w:pStyle w:val="TOC1"/>
            <w:tabs>
              <w:tab w:val="right" w:leader="dot" w:pos="8494"/>
            </w:tabs>
            <w:rPr>
              <w:rFonts w:asciiTheme="minorHAnsi" w:eastAsiaTheme="minorEastAsia" w:hAnsiTheme="minorHAnsi"/>
              <w:noProof/>
              <w:lang w:val="en-US"/>
            </w:rPr>
          </w:pPr>
          <w:hyperlink w:anchor="_Toc211542186" w:history="1">
            <w:r w:rsidRPr="00484C5A">
              <w:rPr>
                <w:rStyle w:val="Hyperlink"/>
                <w:noProof/>
                <w:lang w:val="en-US"/>
              </w:rPr>
              <w:t>4. GRAPHICAL ABSTRACTS</w:t>
            </w:r>
            <w:r>
              <w:rPr>
                <w:noProof/>
                <w:webHidden/>
              </w:rPr>
              <w:tab/>
            </w:r>
            <w:r>
              <w:rPr>
                <w:noProof/>
                <w:webHidden/>
              </w:rPr>
              <w:fldChar w:fldCharType="begin"/>
            </w:r>
            <w:r>
              <w:rPr>
                <w:noProof/>
                <w:webHidden/>
              </w:rPr>
              <w:instrText xml:space="preserve"> PAGEREF _Toc211542186 \h </w:instrText>
            </w:r>
            <w:r>
              <w:rPr>
                <w:noProof/>
                <w:webHidden/>
              </w:rPr>
            </w:r>
            <w:r>
              <w:rPr>
                <w:noProof/>
                <w:webHidden/>
              </w:rPr>
              <w:fldChar w:fldCharType="separate"/>
            </w:r>
            <w:r>
              <w:rPr>
                <w:noProof/>
                <w:webHidden/>
              </w:rPr>
              <w:t>9</w:t>
            </w:r>
            <w:r>
              <w:rPr>
                <w:noProof/>
                <w:webHidden/>
              </w:rPr>
              <w:fldChar w:fldCharType="end"/>
            </w:r>
          </w:hyperlink>
        </w:p>
        <w:p w14:paraId="6329C3B0" w14:textId="2AADD021" w:rsidR="006B43A3" w:rsidRDefault="006B43A3">
          <w:pPr>
            <w:pStyle w:val="TOC1"/>
            <w:tabs>
              <w:tab w:val="right" w:leader="dot" w:pos="8494"/>
            </w:tabs>
            <w:rPr>
              <w:rFonts w:asciiTheme="minorHAnsi" w:eastAsiaTheme="minorEastAsia" w:hAnsiTheme="minorHAnsi"/>
              <w:noProof/>
              <w:lang w:val="en-US"/>
            </w:rPr>
          </w:pPr>
          <w:hyperlink w:anchor="_Toc211542187" w:history="1">
            <w:r w:rsidRPr="00484C5A">
              <w:rPr>
                <w:rStyle w:val="Hyperlink"/>
                <w:noProof/>
                <w:lang w:val="en-US"/>
              </w:rPr>
              <w:t>5. INTRODUCTION</w:t>
            </w:r>
            <w:r>
              <w:rPr>
                <w:noProof/>
                <w:webHidden/>
              </w:rPr>
              <w:tab/>
            </w:r>
            <w:r>
              <w:rPr>
                <w:noProof/>
                <w:webHidden/>
              </w:rPr>
              <w:fldChar w:fldCharType="begin"/>
            </w:r>
            <w:r>
              <w:rPr>
                <w:noProof/>
                <w:webHidden/>
              </w:rPr>
              <w:instrText xml:space="preserve"> PAGEREF _Toc211542187 \h </w:instrText>
            </w:r>
            <w:r>
              <w:rPr>
                <w:noProof/>
                <w:webHidden/>
              </w:rPr>
            </w:r>
            <w:r>
              <w:rPr>
                <w:noProof/>
                <w:webHidden/>
              </w:rPr>
              <w:fldChar w:fldCharType="separate"/>
            </w:r>
            <w:r>
              <w:rPr>
                <w:noProof/>
                <w:webHidden/>
              </w:rPr>
              <w:t>10</w:t>
            </w:r>
            <w:r>
              <w:rPr>
                <w:noProof/>
                <w:webHidden/>
              </w:rPr>
              <w:fldChar w:fldCharType="end"/>
            </w:r>
          </w:hyperlink>
        </w:p>
        <w:p w14:paraId="544526E1" w14:textId="17BCBD7C" w:rsidR="006B43A3" w:rsidRDefault="006B43A3">
          <w:pPr>
            <w:pStyle w:val="TOC2"/>
            <w:tabs>
              <w:tab w:val="right" w:leader="dot" w:pos="8494"/>
            </w:tabs>
            <w:rPr>
              <w:rFonts w:asciiTheme="minorHAnsi" w:eastAsiaTheme="minorEastAsia" w:hAnsiTheme="minorHAnsi"/>
              <w:noProof/>
              <w:lang w:val="en-US"/>
            </w:rPr>
          </w:pPr>
          <w:hyperlink w:anchor="_Toc211542188" w:history="1">
            <w:r w:rsidRPr="00484C5A">
              <w:rPr>
                <w:rStyle w:val="Hyperlink"/>
                <w:noProof/>
                <w:lang w:val="en-US"/>
              </w:rPr>
              <w:t>5.1. Overview of Study I. – Individualized vs. fixed intraoperative PEEP settings</w:t>
            </w:r>
            <w:r>
              <w:rPr>
                <w:noProof/>
                <w:webHidden/>
              </w:rPr>
              <w:tab/>
            </w:r>
            <w:r>
              <w:rPr>
                <w:noProof/>
                <w:webHidden/>
              </w:rPr>
              <w:fldChar w:fldCharType="begin"/>
            </w:r>
            <w:r>
              <w:rPr>
                <w:noProof/>
                <w:webHidden/>
              </w:rPr>
              <w:instrText xml:space="preserve"> PAGEREF _Toc211542188 \h </w:instrText>
            </w:r>
            <w:r>
              <w:rPr>
                <w:noProof/>
                <w:webHidden/>
              </w:rPr>
            </w:r>
            <w:r>
              <w:rPr>
                <w:noProof/>
                <w:webHidden/>
              </w:rPr>
              <w:fldChar w:fldCharType="separate"/>
            </w:r>
            <w:r>
              <w:rPr>
                <w:noProof/>
                <w:webHidden/>
              </w:rPr>
              <w:t>10</w:t>
            </w:r>
            <w:r>
              <w:rPr>
                <w:noProof/>
                <w:webHidden/>
              </w:rPr>
              <w:fldChar w:fldCharType="end"/>
            </w:r>
          </w:hyperlink>
        </w:p>
        <w:p w14:paraId="7BF16DCF" w14:textId="1C3D016F" w:rsidR="006B43A3" w:rsidRDefault="006B43A3">
          <w:pPr>
            <w:pStyle w:val="TOC2"/>
            <w:tabs>
              <w:tab w:val="right" w:leader="dot" w:pos="8494"/>
            </w:tabs>
            <w:rPr>
              <w:rFonts w:asciiTheme="minorHAnsi" w:eastAsiaTheme="minorEastAsia" w:hAnsiTheme="minorHAnsi"/>
              <w:noProof/>
              <w:lang w:val="en-US"/>
            </w:rPr>
          </w:pPr>
          <w:hyperlink w:anchor="_Toc211542189" w:history="1">
            <w:r w:rsidRPr="00484C5A">
              <w:rPr>
                <w:rStyle w:val="Hyperlink"/>
                <w:noProof/>
                <w:lang w:val="en-US"/>
              </w:rPr>
              <w:t>5.2. Overview of Study II. – Hemoadsorption as Adjuvant Therapy in ARDS</w:t>
            </w:r>
            <w:r>
              <w:rPr>
                <w:noProof/>
                <w:webHidden/>
              </w:rPr>
              <w:tab/>
            </w:r>
            <w:r>
              <w:rPr>
                <w:noProof/>
                <w:webHidden/>
              </w:rPr>
              <w:fldChar w:fldCharType="begin"/>
            </w:r>
            <w:r>
              <w:rPr>
                <w:noProof/>
                <w:webHidden/>
              </w:rPr>
              <w:instrText xml:space="preserve"> PAGEREF _Toc211542189 \h </w:instrText>
            </w:r>
            <w:r>
              <w:rPr>
                <w:noProof/>
                <w:webHidden/>
              </w:rPr>
            </w:r>
            <w:r>
              <w:rPr>
                <w:noProof/>
                <w:webHidden/>
              </w:rPr>
              <w:fldChar w:fldCharType="separate"/>
            </w:r>
            <w:r>
              <w:rPr>
                <w:noProof/>
                <w:webHidden/>
              </w:rPr>
              <w:t>11</w:t>
            </w:r>
            <w:r>
              <w:rPr>
                <w:noProof/>
                <w:webHidden/>
              </w:rPr>
              <w:fldChar w:fldCharType="end"/>
            </w:r>
          </w:hyperlink>
        </w:p>
        <w:p w14:paraId="780EA9DD" w14:textId="4716917C" w:rsidR="006B43A3" w:rsidRDefault="006B43A3">
          <w:pPr>
            <w:pStyle w:val="TOC1"/>
            <w:tabs>
              <w:tab w:val="right" w:leader="dot" w:pos="8494"/>
            </w:tabs>
            <w:rPr>
              <w:rFonts w:asciiTheme="minorHAnsi" w:eastAsiaTheme="minorEastAsia" w:hAnsiTheme="minorHAnsi"/>
              <w:noProof/>
              <w:lang w:val="en-US"/>
            </w:rPr>
          </w:pPr>
          <w:hyperlink w:anchor="_Toc211542190" w:history="1">
            <w:r w:rsidRPr="00484C5A">
              <w:rPr>
                <w:rStyle w:val="Hyperlink"/>
                <w:noProof/>
                <w:lang w:val="en-US"/>
              </w:rPr>
              <w:t>6. OBJECTIVES</w:t>
            </w:r>
            <w:r>
              <w:rPr>
                <w:noProof/>
                <w:webHidden/>
              </w:rPr>
              <w:tab/>
            </w:r>
            <w:r>
              <w:rPr>
                <w:noProof/>
                <w:webHidden/>
              </w:rPr>
              <w:fldChar w:fldCharType="begin"/>
            </w:r>
            <w:r>
              <w:rPr>
                <w:noProof/>
                <w:webHidden/>
              </w:rPr>
              <w:instrText xml:space="preserve"> PAGEREF _Toc211542190 \h </w:instrText>
            </w:r>
            <w:r>
              <w:rPr>
                <w:noProof/>
                <w:webHidden/>
              </w:rPr>
            </w:r>
            <w:r>
              <w:rPr>
                <w:noProof/>
                <w:webHidden/>
              </w:rPr>
              <w:fldChar w:fldCharType="separate"/>
            </w:r>
            <w:r>
              <w:rPr>
                <w:noProof/>
                <w:webHidden/>
              </w:rPr>
              <w:t>12</w:t>
            </w:r>
            <w:r>
              <w:rPr>
                <w:noProof/>
                <w:webHidden/>
              </w:rPr>
              <w:fldChar w:fldCharType="end"/>
            </w:r>
          </w:hyperlink>
        </w:p>
        <w:p w14:paraId="6597734D" w14:textId="49DD97B0" w:rsidR="006B43A3" w:rsidRDefault="006B43A3">
          <w:pPr>
            <w:pStyle w:val="TOC2"/>
            <w:tabs>
              <w:tab w:val="right" w:leader="dot" w:pos="8494"/>
            </w:tabs>
            <w:rPr>
              <w:rFonts w:asciiTheme="minorHAnsi" w:eastAsiaTheme="minorEastAsia" w:hAnsiTheme="minorHAnsi"/>
              <w:noProof/>
              <w:lang w:val="en-US"/>
            </w:rPr>
          </w:pPr>
          <w:hyperlink w:anchor="_Toc211542191" w:history="1">
            <w:r w:rsidRPr="00484C5A">
              <w:rPr>
                <w:rStyle w:val="Hyperlink"/>
                <w:noProof/>
                <w:lang w:val="en-US"/>
              </w:rPr>
              <w:t>6.1. Study I. – Individualized vs. fixed intraoperative PEEP settings</w:t>
            </w:r>
            <w:r>
              <w:rPr>
                <w:noProof/>
                <w:webHidden/>
              </w:rPr>
              <w:tab/>
            </w:r>
            <w:r>
              <w:rPr>
                <w:noProof/>
                <w:webHidden/>
              </w:rPr>
              <w:fldChar w:fldCharType="begin"/>
            </w:r>
            <w:r>
              <w:rPr>
                <w:noProof/>
                <w:webHidden/>
              </w:rPr>
              <w:instrText xml:space="preserve"> PAGEREF _Toc211542191 \h </w:instrText>
            </w:r>
            <w:r>
              <w:rPr>
                <w:noProof/>
                <w:webHidden/>
              </w:rPr>
            </w:r>
            <w:r>
              <w:rPr>
                <w:noProof/>
                <w:webHidden/>
              </w:rPr>
              <w:fldChar w:fldCharType="separate"/>
            </w:r>
            <w:r>
              <w:rPr>
                <w:noProof/>
                <w:webHidden/>
              </w:rPr>
              <w:t>12</w:t>
            </w:r>
            <w:r>
              <w:rPr>
                <w:noProof/>
                <w:webHidden/>
              </w:rPr>
              <w:fldChar w:fldCharType="end"/>
            </w:r>
          </w:hyperlink>
        </w:p>
        <w:p w14:paraId="7E2F4016" w14:textId="0A48B420" w:rsidR="006B43A3" w:rsidRDefault="006B43A3">
          <w:pPr>
            <w:pStyle w:val="TOC2"/>
            <w:tabs>
              <w:tab w:val="right" w:leader="dot" w:pos="8494"/>
            </w:tabs>
            <w:rPr>
              <w:rFonts w:asciiTheme="minorHAnsi" w:eastAsiaTheme="minorEastAsia" w:hAnsiTheme="minorHAnsi"/>
              <w:noProof/>
              <w:lang w:val="en-US"/>
            </w:rPr>
          </w:pPr>
          <w:hyperlink w:anchor="_Toc211542192" w:history="1">
            <w:r w:rsidRPr="00484C5A">
              <w:rPr>
                <w:rStyle w:val="Hyperlink"/>
                <w:noProof/>
                <w:lang w:val="en-US"/>
              </w:rPr>
              <w:t>6.2. Study II. – Hemoadsorption as Adjuvant Therapy in ARDS</w:t>
            </w:r>
            <w:r>
              <w:rPr>
                <w:noProof/>
                <w:webHidden/>
              </w:rPr>
              <w:tab/>
            </w:r>
            <w:r>
              <w:rPr>
                <w:noProof/>
                <w:webHidden/>
              </w:rPr>
              <w:fldChar w:fldCharType="begin"/>
            </w:r>
            <w:r>
              <w:rPr>
                <w:noProof/>
                <w:webHidden/>
              </w:rPr>
              <w:instrText xml:space="preserve"> PAGEREF _Toc211542192 \h </w:instrText>
            </w:r>
            <w:r>
              <w:rPr>
                <w:noProof/>
                <w:webHidden/>
              </w:rPr>
            </w:r>
            <w:r>
              <w:rPr>
                <w:noProof/>
                <w:webHidden/>
              </w:rPr>
              <w:fldChar w:fldCharType="separate"/>
            </w:r>
            <w:r>
              <w:rPr>
                <w:noProof/>
                <w:webHidden/>
              </w:rPr>
              <w:t>12</w:t>
            </w:r>
            <w:r>
              <w:rPr>
                <w:noProof/>
                <w:webHidden/>
              </w:rPr>
              <w:fldChar w:fldCharType="end"/>
            </w:r>
          </w:hyperlink>
        </w:p>
        <w:p w14:paraId="75BA9A81" w14:textId="15BDA86E" w:rsidR="006B43A3" w:rsidRDefault="006B43A3">
          <w:pPr>
            <w:pStyle w:val="TOC1"/>
            <w:tabs>
              <w:tab w:val="right" w:leader="dot" w:pos="8494"/>
            </w:tabs>
            <w:rPr>
              <w:rFonts w:asciiTheme="minorHAnsi" w:eastAsiaTheme="minorEastAsia" w:hAnsiTheme="minorHAnsi"/>
              <w:noProof/>
              <w:lang w:val="en-US"/>
            </w:rPr>
          </w:pPr>
          <w:hyperlink w:anchor="_Toc211542193" w:history="1">
            <w:r w:rsidRPr="00484C5A">
              <w:rPr>
                <w:rStyle w:val="Hyperlink"/>
                <w:noProof/>
                <w:lang w:val="en-US"/>
              </w:rPr>
              <w:t>7. METHODS</w:t>
            </w:r>
            <w:r>
              <w:rPr>
                <w:noProof/>
                <w:webHidden/>
              </w:rPr>
              <w:tab/>
            </w:r>
            <w:r>
              <w:rPr>
                <w:noProof/>
                <w:webHidden/>
              </w:rPr>
              <w:fldChar w:fldCharType="begin"/>
            </w:r>
            <w:r>
              <w:rPr>
                <w:noProof/>
                <w:webHidden/>
              </w:rPr>
              <w:instrText xml:space="preserve"> PAGEREF _Toc211542193 \h </w:instrText>
            </w:r>
            <w:r>
              <w:rPr>
                <w:noProof/>
                <w:webHidden/>
              </w:rPr>
            </w:r>
            <w:r>
              <w:rPr>
                <w:noProof/>
                <w:webHidden/>
              </w:rPr>
              <w:fldChar w:fldCharType="separate"/>
            </w:r>
            <w:r>
              <w:rPr>
                <w:noProof/>
                <w:webHidden/>
              </w:rPr>
              <w:t>13</w:t>
            </w:r>
            <w:r>
              <w:rPr>
                <w:noProof/>
                <w:webHidden/>
              </w:rPr>
              <w:fldChar w:fldCharType="end"/>
            </w:r>
          </w:hyperlink>
        </w:p>
        <w:p w14:paraId="12C6334A" w14:textId="3A23C408" w:rsidR="006B43A3" w:rsidRDefault="006B43A3">
          <w:pPr>
            <w:pStyle w:val="TOC2"/>
            <w:tabs>
              <w:tab w:val="right" w:leader="dot" w:pos="8494"/>
            </w:tabs>
            <w:rPr>
              <w:rFonts w:asciiTheme="minorHAnsi" w:eastAsiaTheme="minorEastAsia" w:hAnsiTheme="minorHAnsi"/>
              <w:noProof/>
              <w:lang w:val="en-US"/>
            </w:rPr>
          </w:pPr>
          <w:hyperlink w:anchor="_Toc211542194" w:history="1">
            <w:r w:rsidRPr="00484C5A">
              <w:rPr>
                <w:rStyle w:val="Hyperlink"/>
                <w:noProof/>
                <w:lang w:val="en-US"/>
              </w:rPr>
              <w:t>7.1. Study I. – Individualized vs. fixed intraoperative PEEP settings</w:t>
            </w:r>
            <w:r>
              <w:rPr>
                <w:noProof/>
                <w:webHidden/>
              </w:rPr>
              <w:tab/>
            </w:r>
            <w:r>
              <w:rPr>
                <w:noProof/>
                <w:webHidden/>
              </w:rPr>
              <w:fldChar w:fldCharType="begin"/>
            </w:r>
            <w:r>
              <w:rPr>
                <w:noProof/>
                <w:webHidden/>
              </w:rPr>
              <w:instrText xml:space="preserve"> PAGEREF _Toc211542194 \h </w:instrText>
            </w:r>
            <w:r>
              <w:rPr>
                <w:noProof/>
                <w:webHidden/>
              </w:rPr>
            </w:r>
            <w:r>
              <w:rPr>
                <w:noProof/>
                <w:webHidden/>
              </w:rPr>
              <w:fldChar w:fldCharType="separate"/>
            </w:r>
            <w:r>
              <w:rPr>
                <w:noProof/>
                <w:webHidden/>
              </w:rPr>
              <w:t>13</w:t>
            </w:r>
            <w:r>
              <w:rPr>
                <w:noProof/>
                <w:webHidden/>
              </w:rPr>
              <w:fldChar w:fldCharType="end"/>
            </w:r>
          </w:hyperlink>
        </w:p>
        <w:p w14:paraId="58AA4B10" w14:textId="4C7ECBF5" w:rsidR="006B43A3" w:rsidRDefault="006B43A3">
          <w:pPr>
            <w:pStyle w:val="TOC3"/>
            <w:tabs>
              <w:tab w:val="right" w:leader="dot" w:pos="8494"/>
            </w:tabs>
            <w:rPr>
              <w:rFonts w:asciiTheme="minorHAnsi" w:eastAsiaTheme="minorEastAsia" w:hAnsiTheme="minorHAnsi"/>
              <w:noProof/>
              <w:lang w:val="en-US"/>
            </w:rPr>
          </w:pPr>
          <w:hyperlink w:anchor="_Toc211542195" w:history="1">
            <w:r w:rsidRPr="00484C5A">
              <w:rPr>
                <w:rStyle w:val="Hyperlink"/>
                <w:noProof/>
                <w:lang w:val="en-US"/>
              </w:rPr>
              <w:t>7.1.1. Systematic search, eligibility</w:t>
            </w:r>
            <w:r>
              <w:rPr>
                <w:noProof/>
                <w:webHidden/>
              </w:rPr>
              <w:tab/>
            </w:r>
            <w:r>
              <w:rPr>
                <w:noProof/>
                <w:webHidden/>
              </w:rPr>
              <w:fldChar w:fldCharType="begin"/>
            </w:r>
            <w:r>
              <w:rPr>
                <w:noProof/>
                <w:webHidden/>
              </w:rPr>
              <w:instrText xml:space="preserve"> PAGEREF _Toc211542195 \h </w:instrText>
            </w:r>
            <w:r>
              <w:rPr>
                <w:noProof/>
                <w:webHidden/>
              </w:rPr>
            </w:r>
            <w:r>
              <w:rPr>
                <w:noProof/>
                <w:webHidden/>
              </w:rPr>
              <w:fldChar w:fldCharType="separate"/>
            </w:r>
            <w:r>
              <w:rPr>
                <w:noProof/>
                <w:webHidden/>
              </w:rPr>
              <w:t>13</w:t>
            </w:r>
            <w:r>
              <w:rPr>
                <w:noProof/>
                <w:webHidden/>
              </w:rPr>
              <w:fldChar w:fldCharType="end"/>
            </w:r>
          </w:hyperlink>
        </w:p>
        <w:p w14:paraId="180E92F6" w14:textId="79E38D27" w:rsidR="006B43A3" w:rsidRDefault="006B43A3">
          <w:pPr>
            <w:pStyle w:val="TOC3"/>
            <w:tabs>
              <w:tab w:val="right" w:leader="dot" w:pos="8494"/>
            </w:tabs>
            <w:rPr>
              <w:rFonts w:asciiTheme="minorHAnsi" w:eastAsiaTheme="minorEastAsia" w:hAnsiTheme="minorHAnsi"/>
              <w:noProof/>
              <w:lang w:val="en-US"/>
            </w:rPr>
          </w:pPr>
          <w:hyperlink w:anchor="_Toc211542196" w:history="1">
            <w:r w:rsidRPr="00484C5A">
              <w:rPr>
                <w:rStyle w:val="Hyperlink"/>
                <w:noProof/>
                <w:lang w:val="en-US"/>
              </w:rPr>
              <w:t>7.1.2. Selection, data synthesis and statistical analysis</w:t>
            </w:r>
            <w:r>
              <w:rPr>
                <w:noProof/>
                <w:webHidden/>
              </w:rPr>
              <w:tab/>
            </w:r>
            <w:r>
              <w:rPr>
                <w:noProof/>
                <w:webHidden/>
              </w:rPr>
              <w:fldChar w:fldCharType="begin"/>
            </w:r>
            <w:r>
              <w:rPr>
                <w:noProof/>
                <w:webHidden/>
              </w:rPr>
              <w:instrText xml:space="preserve"> PAGEREF _Toc211542196 \h </w:instrText>
            </w:r>
            <w:r>
              <w:rPr>
                <w:noProof/>
                <w:webHidden/>
              </w:rPr>
            </w:r>
            <w:r>
              <w:rPr>
                <w:noProof/>
                <w:webHidden/>
              </w:rPr>
              <w:fldChar w:fldCharType="separate"/>
            </w:r>
            <w:r>
              <w:rPr>
                <w:noProof/>
                <w:webHidden/>
              </w:rPr>
              <w:t>13</w:t>
            </w:r>
            <w:r>
              <w:rPr>
                <w:noProof/>
                <w:webHidden/>
              </w:rPr>
              <w:fldChar w:fldCharType="end"/>
            </w:r>
          </w:hyperlink>
        </w:p>
        <w:p w14:paraId="02289B4C" w14:textId="2133CD5E" w:rsidR="006B43A3" w:rsidRDefault="006B43A3">
          <w:pPr>
            <w:pStyle w:val="TOC3"/>
            <w:tabs>
              <w:tab w:val="right" w:leader="dot" w:pos="8494"/>
            </w:tabs>
            <w:rPr>
              <w:rFonts w:asciiTheme="minorHAnsi" w:eastAsiaTheme="minorEastAsia" w:hAnsiTheme="minorHAnsi"/>
              <w:noProof/>
              <w:lang w:val="en-US"/>
            </w:rPr>
          </w:pPr>
          <w:hyperlink w:anchor="_Toc211542197" w:history="1">
            <w:r w:rsidRPr="00484C5A">
              <w:rPr>
                <w:rStyle w:val="Hyperlink"/>
                <w:noProof/>
                <w:lang w:val="en-US"/>
              </w:rPr>
              <w:t>7.1.3. Quality of evidence and risk of bias assessment</w:t>
            </w:r>
            <w:r>
              <w:rPr>
                <w:noProof/>
                <w:webHidden/>
              </w:rPr>
              <w:tab/>
            </w:r>
            <w:r>
              <w:rPr>
                <w:noProof/>
                <w:webHidden/>
              </w:rPr>
              <w:fldChar w:fldCharType="begin"/>
            </w:r>
            <w:r>
              <w:rPr>
                <w:noProof/>
                <w:webHidden/>
              </w:rPr>
              <w:instrText xml:space="preserve"> PAGEREF _Toc211542197 \h </w:instrText>
            </w:r>
            <w:r>
              <w:rPr>
                <w:noProof/>
                <w:webHidden/>
              </w:rPr>
            </w:r>
            <w:r>
              <w:rPr>
                <w:noProof/>
                <w:webHidden/>
              </w:rPr>
              <w:fldChar w:fldCharType="separate"/>
            </w:r>
            <w:r>
              <w:rPr>
                <w:noProof/>
                <w:webHidden/>
              </w:rPr>
              <w:t>14</w:t>
            </w:r>
            <w:r>
              <w:rPr>
                <w:noProof/>
                <w:webHidden/>
              </w:rPr>
              <w:fldChar w:fldCharType="end"/>
            </w:r>
          </w:hyperlink>
        </w:p>
        <w:p w14:paraId="6ADA615D" w14:textId="31EE57F6" w:rsidR="006B43A3" w:rsidRDefault="006B43A3">
          <w:pPr>
            <w:pStyle w:val="TOC2"/>
            <w:tabs>
              <w:tab w:val="right" w:leader="dot" w:pos="8494"/>
            </w:tabs>
            <w:rPr>
              <w:rFonts w:asciiTheme="minorHAnsi" w:eastAsiaTheme="minorEastAsia" w:hAnsiTheme="minorHAnsi"/>
              <w:noProof/>
              <w:lang w:val="en-US"/>
            </w:rPr>
          </w:pPr>
          <w:hyperlink w:anchor="_Toc211542198" w:history="1">
            <w:r w:rsidRPr="00484C5A">
              <w:rPr>
                <w:rStyle w:val="Hyperlink"/>
                <w:noProof/>
                <w:lang w:val="en-US"/>
              </w:rPr>
              <w:t>7.2. Study II. – Hemoadsorption as Adjuvant Therapy in ARDS</w:t>
            </w:r>
            <w:r>
              <w:rPr>
                <w:noProof/>
                <w:webHidden/>
              </w:rPr>
              <w:tab/>
            </w:r>
            <w:r>
              <w:rPr>
                <w:noProof/>
                <w:webHidden/>
              </w:rPr>
              <w:fldChar w:fldCharType="begin"/>
            </w:r>
            <w:r>
              <w:rPr>
                <w:noProof/>
                <w:webHidden/>
              </w:rPr>
              <w:instrText xml:space="preserve"> PAGEREF _Toc211542198 \h </w:instrText>
            </w:r>
            <w:r>
              <w:rPr>
                <w:noProof/>
                <w:webHidden/>
              </w:rPr>
            </w:r>
            <w:r>
              <w:rPr>
                <w:noProof/>
                <w:webHidden/>
              </w:rPr>
              <w:fldChar w:fldCharType="separate"/>
            </w:r>
            <w:r>
              <w:rPr>
                <w:noProof/>
                <w:webHidden/>
              </w:rPr>
              <w:t>14</w:t>
            </w:r>
            <w:r>
              <w:rPr>
                <w:noProof/>
                <w:webHidden/>
              </w:rPr>
              <w:fldChar w:fldCharType="end"/>
            </w:r>
          </w:hyperlink>
        </w:p>
        <w:p w14:paraId="56D613D0" w14:textId="6DC30E6B" w:rsidR="006B43A3" w:rsidRDefault="006B43A3">
          <w:pPr>
            <w:pStyle w:val="TOC3"/>
            <w:tabs>
              <w:tab w:val="right" w:leader="dot" w:pos="8494"/>
            </w:tabs>
            <w:rPr>
              <w:rFonts w:asciiTheme="minorHAnsi" w:eastAsiaTheme="minorEastAsia" w:hAnsiTheme="minorHAnsi"/>
              <w:noProof/>
              <w:lang w:val="en-US"/>
            </w:rPr>
          </w:pPr>
          <w:hyperlink w:anchor="_Toc211542199" w:history="1">
            <w:r w:rsidRPr="00484C5A">
              <w:rPr>
                <w:rStyle w:val="Hyperlink"/>
                <w:noProof/>
                <w:lang w:val="en-US"/>
              </w:rPr>
              <w:t>7.2.1. Systematic search, eligibility</w:t>
            </w:r>
            <w:r>
              <w:rPr>
                <w:noProof/>
                <w:webHidden/>
              </w:rPr>
              <w:tab/>
            </w:r>
            <w:r>
              <w:rPr>
                <w:noProof/>
                <w:webHidden/>
              </w:rPr>
              <w:fldChar w:fldCharType="begin"/>
            </w:r>
            <w:r>
              <w:rPr>
                <w:noProof/>
                <w:webHidden/>
              </w:rPr>
              <w:instrText xml:space="preserve"> PAGEREF _Toc211542199 \h </w:instrText>
            </w:r>
            <w:r>
              <w:rPr>
                <w:noProof/>
                <w:webHidden/>
              </w:rPr>
            </w:r>
            <w:r>
              <w:rPr>
                <w:noProof/>
                <w:webHidden/>
              </w:rPr>
              <w:fldChar w:fldCharType="separate"/>
            </w:r>
            <w:r>
              <w:rPr>
                <w:noProof/>
                <w:webHidden/>
              </w:rPr>
              <w:t>14</w:t>
            </w:r>
            <w:r>
              <w:rPr>
                <w:noProof/>
                <w:webHidden/>
              </w:rPr>
              <w:fldChar w:fldCharType="end"/>
            </w:r>
          </w:hyperlink>
        </w:p>
        <w:p w14:paraId="6DC2FA09" w14:textId="64571A44" w:rsidR="006B43A3" w:rsidRDefault="006B43A3">
          <w:pPr>
            <w:pStyle w:val="TOC3"/>
            <w:tabs>
              <w:tab w:val="right" w:leader="dot" w:pos="8494"/>
            </w:tabs>
            <w:rPr>
              <w:rFonts w:asciiTheme="minorHAnsi" w:eastAsiaTheme="minorEastAsia" w:hAnsiTheme="minorHAnsi"/>
              <w:noProof/>
              <w:lang w:val="en-US"/>
            </w:rPr>
          </w:pPr>
          <w:hyperlink w:anchor="_Toc211542200" w:history="1">
            <w:r w:rsidRPr="00484C5A">
              <w:rPr>
                <w:rStyle w:val="Hyperlink"/>
                <w:noProof/>
                <w:lang w:val="en-US"/>
              </w:rPr>
              <w:t>7.2.2. Selection, data syntesis and statistical analysis</w:t>
            </w:r>
            <w:r>
              <w:rPr>
                <w:noProof/>
                <w:webHidden/>
              </w:rPr>
              <w:tab/>
            </w:r>
            <w:r>
              <w:rPr>
                <w:noProof/>
                <w:webHidden/>
              </w:rPr>
              <w:fldChar w:fldCharType="begin"/>
            </w:r>
            <w:r>
              <w:rPr>
                <w:noProof/>
                <w:webHidden/>
              </w:rPr>
              <w:instrText xml:space="preserve"> PAGEREF _Toc211542200 \h </w:instrText>
            </w:r>
            <w:r>
              <w:rPr>
                <w:noProof/>
                <w:webHidden/>
              </w:rPr>
            </w:r>
            <w:r>
              <w:rPr>
                <w:noProof/>
                <w:webHidden/>
              </w:rPr>
              <w:fldChar w:fldCharType="separate"/>
            </w:r>
            <w:r>
              <w:rPr>
                <w:noProof/>
                <w:webHidden/>
              </w:rPr>
              <w:t>14</w:t>
            </w:r>
            <w:r>
              <w:rPr>
                <w:noProof/>
                <w:webHidden/>
              </w:rPr>
              <w:fldChar w:fldCharType="end"/>
            </w:r>
          </w:hyperlink>
        </w:p>
        <w:p w14:paraId="6BFF258D" w14:textId="5F03FEF4" w:rsidR="006B43A3" w:rsidRDefault="006B43A3">
          <w:pPr>
            <w:pStyle w:val="TOC3"/>
            <w:tabs>
              <w:tab w:val="right" w:leader="dot" w:pos="8494"/>
            </w:tabs>
            <w:rPr>
              <w:rFonts w:asciiTheme="minorHAnsi" w:eastAsiaTheme="minorEastAsia" w:hAnsiTheme="minorHAnsi"/>
              <w:noProof/>
              <w:lang w:val="en-US"/>
            </w:rPr>
          </w:pPr>
          <w:hyperlink w:anchor="_Toc211542201" w:history="1">
            <w:r w:rsidRPr="00484C5A">
              <w:rPr>
                <w:rStyle w:val="Hyperlink"/>
                <w:noProof/>
                <w:lang w:val="en-US"/>
              </w:rPr>
              <w:t>7.2.3. Quality of evidence and risk of bias assessment</w:t>
            </w:r>
            <w:r>
              <w:rPr>
                <w:noProof/>
                <w:webHidden/>
              </w:rPr>
              <w:tab/>
            </w:r>
            <w:r>
              <w:rPr>
                <w:noProof/>
                <w:webHidden/>
              </w:rPr>
              <w:fldChar w:fldCharType="begin"/>
            </w:r>
            <w:r>
              <w:rPr>
                <w:noProof/>
                <w:webHidden/>
              </w:rPr>
              <w:instrText xml:space="preserve"> PAGEREF _Toc211542201 \h </w:instrText>
            </w:r>
            <w:r>
              <w:rPr>
                <w:noProof/>
                <w:webHidden/>
              </w:rPr>
            </w:r>
            <w:r>
              <w:rPr>
                <w:noProof/>
                <w:webHidden/>
              </w:rPr>
              <w:fldChar w:fldCharType="separate"/>
            </w:r>
            <w:r>
              <w:rPr>
                <w:noProof/>
                <w:webHidden/>
              </w:rPr>
              <w:t>15</w:t>
            </w:r>
            <w:r>
              <w:rPr>
                <w:noProof/>
                <w:webHidden/>
              </w:rPr>
              <w:fldChar w:fldCharType="end"/>
            </w:r>
          </w:hyperlink>
        </w:p>
        <w:p w14:paraId="36507CD9" w14:textId="6312125A" w:rsidR="006B43A3" w:rsidRDefault="006B43A3">
          <w:pPr>
            <w:pStyle w:val="TOC1"/>
            <w:tabs>
              <w:tab w:val="right" w:leader="dot" w:pos="8494"/>
            </w:tabs>
            <w:rPr>
              <w:rFonts w:asciiTheme="minorHAnsi" w:eastAsiaTheme="minorEastAsia" w:hAnsiTheme="minorHAnsi"/>
              <w:noProof/>
              <w:lang w:val="en-US"/>
            </w:rPr>
          </w:pPr>
          <w:hyperlink w:anchor="_Toc211542202" w:history="1">
            <w:r w:rsidRPr="00484C5A">
              <w:rPr>
                <w:rStyle w:val="Hyperlink"/>
                <w:noProof/>
                <w:lang w:val="en-US"/>
              </w:rPr>
              <w:t>8. RESULTS</w:t>
            </w:r>
            <w:r>
              <w:rPr>
                <w:noProof/>
                <w:webHidden/>
              </w:rPr>
              <w:tab/>
            </w:r>
            <w:r>
              <w:rPr>
                <w:noProof/>
                <w:webHidden/>
              </w:rPr>
              <w:fldChar w:fldCharType="begin"/>
            </w:r>
            <w:r>
              <w:rPr>
                <w:noProof/>
                <w:webHidden/>
              </w:rPr>
              <w:instrText xml:space="preserve"> PAGEREF _Toc211542202 \h </w:instrText>
            </w:r>
            <w:r>
              <w:rPr>
                <w:noProof/>
                <w:webHidden/>
              </w:rPr>
            </w:r>
            <w:r>
              <w:rPr>
                <w:noProof/>
                <w:webHidden/>
              </w:rPr>
              <w:fldChar w:fldCharType="separate"/>
            </w:r>
            <w:r>
              <w:rPr>
                <w:noProof/>
                <w:webHidden/>
              </w:rPr>
              <w:t>16</w:t>
            </w:r>
            <w:r>
              <w:rPr>
                <w:noProof/>
                <w:webHidden/>
              </w:rPr>
              <w:fldChar w:fldCharType="end"/>
            </w:r>
          </w:hyperlink>
        </w:p>
        <w:p w14:paraId="48D25697" w14:textId="6B52750B" w:rsidR="006B43A3" w:rsidRDefault="006B43A3">
          <w:pPr>
            <w:pStyle w:val="TOC2"/>
            <w:tabs>
              <w:tab w:val="right" w:leader="dot" w:pos="8494"/>
            </w:tabs>
            <w:rPr>
              <w:rFonts w:asciiTheme="minorHAnsi" w:eastAsiaTheme="minorEastAsia" w:hAnsiTheme="minorHAnsi"/>
              <w:noProof/>
              <w:lang w:val="en-US"/>
            </w:rPr>
          </w:pPr>
          <w:hyperlink w:anchor="_Toc211542203" w:history="1">
            <w:r w:rsidRPr="00484C5A">
              <w:rPr>
                <w:rStyle w:val="Hyperlink"/>
                <w:noProof/>
                <w:lang w:val="en-US"/>
              </w:rPr>
              <w:t>8.1. Study I. – Individualized vs. fixed intraoperative PEEP settings</w:t>
            </w:r>
            <w:r>
              <w:rPr>
                <w:noProof/>
                <w:webHidden/>
              </w:rPr>
              <w:tab/>
            </w:r>
            <w:r>
              <w:rPr>
                <w:noProof/>
                <w:webHidden/>
              </w:rPr>
              <w:fldChar w:fldCharType="begin"/>
            </w:r>
            <w:r>
              <w:rPr>
                <w:noProof/>
                <w:webHidden/>
              </w:rPr>
              <w:instrText xml:space="preserve"> PAGEREF _Toc211542203 \h </w:instrText>
            </w:r>
            <w:r>
              <w:rPr>
                <w:noProof/>
                <w:webHidden/>
              </w:rPr>
            </w:r>
            <w:r>
              <w:rPr>
                <w:noProof/>
                <w:webHidden/>
              </w:rPr>
              <w:fldChar w:fldCharType="separate"/>
            </w:r>
            <w:r>
              <w:rPr>
                <w:noProof/>
                <w:webHidden/>
              </w:rPr>
              <w:t>16</w:t>
            </w:r>
            <w:r>
              <w:rPr>
                <w:noProof/>
                <w:webHidden/>
              </w:rPr>
              <w:fldChar w:fldCharType="end"/>
            </w:r>
          </w:hyperlink>
        </w:p>
        <w:p w14:paraId="4850BCD1" w14:textId="07584D40" w:rsidR="006B43A3" w:rsidRDefault="006B43A3">
          <w:pPr>
            <w:pStyle w:val="TOC3"/>
            <w:tabs>
              <w:tab w:val="right" w:leader="dot" w:pos="8494"/>
            </w:tabs>
            <w:rPr>
              <w:rFonts w:asciiTheme="minorHAnsi" w:eastAsiaTheme="minorEastAsia" w:hAnsiTheme="minorHAnsi"/>
              <w:noProof/>
              <w:lang w:val="en-US"/>
            </w:rPr>
          </w:pPr>
          <w:hyperlink w:anchor="_Toc211542204" w:history="1">
            <w:r w:rsidRPr="00484C5A">
              <w:rPr>
                <w:rStyle w:val="Hyperlink"/>
                <w:noProof/>
                <w:lang w:val="en-US"/>
              </w:rPr>
              <w:t>8.1.1. Systematic search and selection</w:t>
            </w:r>
            <w:r>
              <w:rPr>
                <w:noProof/>
                <w:webHidden/>
              </w:rPr>
              <w:tab/>
            </w:r>
            <w:r>
              <w:rPr>
                <w:noProof/>
                <w:webHidden/>
              </w:rPr>
              <w:fldChar w:fldCharType="begin"/>
            </w:r>
            <w:r>
              <w:rPr>
                <w:noProof/>
                <w:webHidden/>
              </w:rPr>
              <w:instrText xml:space="preserve"> PAGEREF _Toc211542204 \h </w:instrText>
            </w:r>
            <w:r>
              <w:rPr>
                <w:noProof/>
                <w:webHidden/>
              </w:rPr>
            </w:r>
            <w:r>
              <w:rPr>
                <w:noProof/>
                <w:webHidden/>
              </w:rPr>
              <w:fldChar w:fldCharType="separate"/>
            </w:r>
            <w:r>
              <w:rPr>
                <w:noProof/>
                <w:webHidden/>
              </w:rPr>
              <w:t>16</w:t>
            </w:r>
            <w:r>
              <w:rPr>
                <w:noProof/>
                <w:webHidden/>
              </w:rPr>
              <w:fldChar w:fldCharType="end"/>
            </w:r>
          </w:hyperlink>
        </w:p>
        <w:p w14:paraId="5C686F39" w14:textId="27A7BC8C" w:rsidR="006B43A3" w:rsidRDefault="006B43A3">
          <w:pPr>
            <w:pStyle w:val="TOC3"/>
            <w:tabs>
              <w:tab w:val="right" w:leader="dot" w:pos="8494"/>
            </w:tabs>
            <w:rPr>
              <w:rFonts w:asciiTheme="minorHAnsi" w:eastAsiaTheme="minorEastAsia" w:hAnsiTheme="minorHAnsi"/>
              <w:noProof/>
              <w:lang w:val="en-US"/>
            </w:rPr>
          </w:pPr>
          <w:hyperlink w:anchor="_Toc211542205" w:history="1">
            <w:r w:rsidRPr="00484C5A">
              <w:rPr>
                <w:rStyle w:val="Hyperlink"/>
                <w:noProof/>
                <w:lang w:val="en-US"/>
              </w:rPr>
              <w:t>8.1.2. Baseline characteristics</w:t>
            </w:r>
            <w:r>
              <w:rPr>
                <w:noProof/>
                <w:webHidden/>
              </w:rPr>
              <w:tab/>
            </w:r>
            <w:r>
              <w:rPr>
                <w:noProof/>
                <w:webHidden/>
              </w:rPr>
              <w:fldChar w:fldCharType="begin"/>
            </w:r>
            <w:r>
              <w:rPr>
                <w:noProof/>
                <w:webHidden/>
              </w:rPr>
              <w:instrText xml:space="preserve"> PAGEREF _Toc211542205 \h </w:instrText>
            </w:r>
            <w:r>
              <w:rPr>
                <w:noProof/>
                <w:webHidden/>
              </w:rPr>
            </w:r>
            <w:r>
              <w:rPr>
                <w:noProof/>
                <w:webHidden/>
              </w:rPr>
              <w:fldChar w:fldCharType="separate"/>
            </w:r>
            <w:r>
              <w:rPr>
                <w:noProof/>
                <w:webHidden/>
              </w:rPr>
              <w:t>17</w:t>
            </w:r>
            <w:r>
              <w:rPr>
                <w:noProof/>
                <w:webHidden/>
              </w:rPr>
              <w:fldChar w:fldCharType="end"/>
            </w:r>
          </w:hyperlink>
        </w:p>
        <w:p w14:paraId="2D7FBA9F" w14:textId="3790AE66" w:rsidR="006B43A3" w:rsidRDefault="006B43A3">
          <w:pPr>
            <w:pStyle w:val="TOC3"/>
            <w:tabs>
              <w:tab w:val="right" w:leader="dot" w:pos="8494"/>
            </w:tabs>
            <w:rPr>
              <w:rFonts w:asciiTheme="minorHAnsi" w:eastAsiaTheme="minorEastAsia" w:hAnsiTheme="minorHAnsi"/>
              <w:noProof/>
              <w:lang w:val="en-US"/>
            </w:rPr>
          </w:pPr>
          <w:hyperlink w:anchor="_Toc211542206" w:history="1">
            <w:r w:rsidRPr="00484C5A">
              <w:rPr>
                <w:rStyle w:val="Hyperlink"/>
                <w:noProof/>
                <w:lang w:val="en-US"/>
              </w:rPr>
              <w:t>8.1.3. Primary outcome</w:t>
            </w:r>
            <w:r>
              <w:rPr>
                <w:noProof/>
                <w:webHidden/>
              </w:rPr>
              <w:tab/>
            </w:r>
            <w:r>
              <w:rPr>
                <w:noProof/>
                <w:webHidden/>
              </w:rPr>
              <w:fldChar w:fldCharType="begin"/>
            </w:r>
            <w:r>
              <w:rPr>
                <w:noProof/>
                <w:webHidden/>
              </w:rPr>
              <w:instrText xml:space="preserve"> PAGEREF _Toc211542206 \h </w:instrText>
            </w:r>
            <w:r>
              <w:rPr>
                <w:noProof/>
                <w:webHidden/>
              </w:rPr>
            </w:r>
            <w:r>
              <w:rPr>
                <w:noProof/>
                <w:webHidden/>
              </w:rPr>
              <w:fldChar w:fldCharType="separate"/>
            </w:r>
            <w:r>
              <w:rPr>
                <w:noProof/>
                <w:webHidden/>
              </w:rPr>
              <w:t>18</w:t>
            </w:r>
            <w:r>
              <w:rPr>
                <w:noProof/>
                <w:webHidden/>
              </w:rPr>
              <w:fldChar w:fldCharType="end"/>
            </w:r>
          </w:hyperlink>
        </w:p>
        <w:p w14:paraId="1827223B" w14:textId="64C437E3" w:rsidR="006B43A3" w:rsidRDefault="006B43A3">
          <w:pPr>
            <w:pStyle w:val="TOC3"/>
            <w:tabs>
              <w:tab w:val="right" w:leader="dot" w:pos="8494"/>
            </w:tabs>
            <w:rPr>
              <w:rFonts w:asciiTheme="minorHAnsi" w:eastAsiaTheme="minorEastAsia" w:hAnsiTheme="minorHAnsi"/>
              <w:noProof/>
              <w:lang w:val="en-US"/>
            </w:rPr>
          </w:pPr>
          <w:hyperlink w:anchor="_Toc211542207" w:history="1">
            <w:r w:rsidRPr="00484C5A">
              <w:rPr>
                <w:rStyle w:val="Hyperlink"/>
                <w:noProof/>
                <w:lang w:val="en-US"/>
              </w:rPr>
              <w:t>8.1.4. Secondary outcomes</w:t>
            </w:r>
            <w:r>
              <w:rPr>
                <w:noProof/>
                <w:webHidden/>
              </w:rPr>
              <w:tab/>
            </w:r>
            <w:r>
              <w:rPr>
                <w:noProof/>
                <w:webHidden/>
              </w:rPr>
              <w:fldChar w:fldCharType="begin"/>
            </w:r>
            <w:r>
              <w:rPr>
                <w:noProof/>
                <w:webHidden/>
              </w:rPr>
              <w:instrText xml:space="preserve"> PAGEREF _Toc211542207 \h </w:instrText>
            </w:r>
            <w:r>
              <w:rPr>
                <w:noProof/>
                <w:webHidden/>
              </w:rPr>
            </w:r>
            <w:r>
              <w:rPr>
                <w:noProof/>
                <w:webHidden/>
              </w:rPr>
              <w:fldChar w:fldCharType="separate"/>
            </w:r>
            <w:r>
              <w:rPr>
                <w:noProof/>
                <w:webHidden/>
              </w:rPr>
              <w:t>19</w:t>
            </w:r>
            <w:r>
              <w:rPr>
                <w:noProof/>
                <w:webHidden/>
              </w:rPr>
              <w:fldChar w:fldCharType="end"/>
            </w:r>
          </w:hyperlink>
        </w:p>
        <w:p w14:paraId="3058FB50" w14:textId="76B714BC" w:rsidR="006B43A3" w:rsidRDefault="006B43A3">
          <w:pPr>
            <w:pStyle w:val="TOC3"/>
            <w:tabs>
              <w:tab w:val="right" w:leader="dot" w:pos="8494"/>
            </w:tabs>
            <w:rPr>
              <w:rFonts w:asciiTheme="minorHAnsi" w:eastAsiaTheme="minorEastAsia" w:hAnsiTheme="minorHAnsi"/>
              <w:noProof/>
              <w:lang w:val="en-US"/>
            </w:rPr>
          </w:pPr>
          <w:hyperlink w:anchor="_Toc211542208" w:history="1">
            <w:r w:rsidRPr="00484C5A">
              <w:rPr>
                <w:rStyle w:val="Hyperlink"/>
                <w:noProof/>
                <w:lang w:val="en-US"/>
              </w:rPr>
              <w:t>8.1.5. Risk of bias and quality of evidence assessment</w:t>
            </w:r>
            <w:r>
              <w:rPr>
                <w:noProof/>
                <w:webHidden/>
              </w:rPr>
              <w:tab/>
            </w:r>
            <w:r>
              <w:rPr>
                <w:noProof/>
                <w:webHidden/>
              </w:rPr>
              <w:fldChar w:fldCharType="begin"/>
            </w:r>
            <w:r>
              <w:rPr>
                <w:noProof/>
                <w:webHidden/>
              </w:rPr>
              <w:instrText xml:space="preserve"> PAGEREF _Toc211542208 \h </w:instrText>
            </w:r>
            <w:r>
              <w:rPr>
                <w:noProof/>
                <w:webHidden/>
              </w:rPr>
            </w:r>
            <w:r>
              <w:rPr>
                <w:noProof/>
                <w:webHidden/>
              </w:rPr>
              <w:fldChar w:fldCharType="separate"/>
            </w:r>
            <w:r>
              <w:rPr>
                <w:noProof/>
                <w:webHidden/>
              </w:rPr>
              <w:t>31</w:t>
            </w:r>
            <w:r>
              <w:rPr>
                <w:noProof/>
                <w:webHidden/>
              </w:rPr>
              <w:fldChar w:fldCharType="end"/>
            </w:r>
          </w:hyperlink>
        </w:p>
        <w:p w14:paraId="60AE09A5" w14:textId="5E5F7001" w:rsidR="006B43A3" w:rsidRDefault="006B43A3">
          <w:pPr>
            <w:pStyle w:val="TOC2"/>
            <w:tabs>
              <w:tab w:val="right" w:leader="dot" w:pos="8494"/>
            </w:tabs>
            <w:rPr>
              <w:rFonts w:asciiTheme="minorHAnsi" w:eastAsiaTheme="minorEastAsia" w:hAnsiTheme="minorHAnsi"/>
              <w:noProof/>
              <w:lang w:val="en-US"/>
            </w:rPr>
          </w:pPr>
          <w:hyperlink w:anchor="_Toc211542209" w:history="1">
            <w:r w:rsidRPr="00484C5A">
              <w:rPr>
                <w:rStyle w:val="Hyperlink"/>
                <w:noProof/>
                <w:lang w:val="en-US"/>
              </w:rPr>
              <w:t>8.2. Study II. – Hemoadsorption as Adjuvant Therapy in ARDS</w:t>
            </w:r>
            <w:r>
              <w:rPr>
                <w:noProof/>
                <w:webHidden/>
              </w:rPr>
              <w:tab/>
            </w:r>
            <w:r>
              <w:rPr>
                <w:noProof/>
                <w:webHidden/>
              </w:rPr>
              <w:fldChar w:fldCharType="begin"/>
            </w:r>
            <w:r>
              <w:rPr>
                <w:noProof/>
                <w:webHidden/>
              </w:rPr>
              <w:instrText xml:space="preserve"> PAGEREF _Toc211542209 \h </w:instrText>
            </w:r>
            <w:r>
              <w:rPr>
                <w:noProof/>
                <w:webHidden/>
              </w:rPr>
            </w:r>
            <w:r>
              <w:rPr>
                <w:noProof/>
                <w:webHidden/>
              </w:rPr>
              <w:fldChar w:fldCharType="separate"/>
            </w:r>
            <w:r>
              <w:rPr>
                <w:noProof/>
                <w:webHidden/>
              </w:rPr>
              <w:t>37</w:t>
            </w:r>
            <w:r>
              <w:rPr>
                <w:noProof/>
                <w:webHidden/>
              </w:rPr>
              <w:fldChar w:fldCharType="end"/>
            </w:r>
          </w:hyperlink>
        </w:p>
        <w:p w14:paraId="0FB4FA20" w14:textId="7F468033" w:rsidR="006B43A3" w:rsidRDefault="006B43A3">
          <w:pPr>
            <w:pStyle w:val="TOC3"/>
            <w:tabs>
              <w:tab w:val="right" w:leader="dot" w:pos="8494"/>
            </w:tabs>
            <w:rPr>
              <w:rFonts w:asciiTheme="minorHAnsi" w:eastAsiaTheme="minorEastAsia" w:hAnsiTheme="minorHAnsi"/>
              <w:noProof/>
              <w:lang w:val="en-US"/>
            </w:rPr>
          </w:pPr>
          <w:hyperlink w:anchor="_Toc211542210" w:history="1">
            <w:r w:rsidRPr="00484C5A">
              <w:rPr>
                <w:rStyle w:val="Hyperlink"/>
                <w:noProof/>
                <w:lang w:val="en-US"/>
              </w:rPr>
              <w:t>8.2.1. Systematic search and selection</w:t>
            </w:r>
            <w:r>
              <w:rPr>
                <w:noProof/>
                <w:webHidden/>
              </w:rPr>
              <w:tab/>
            </w:r>
            <w:r>
              <w:rPr>
                <w:noProof/>
                <w:webHidden/>
              </w:rPr>
              <w:fldChar w:fldCharType="begin"/>
            </w:r>
            <w:r>
              <w:rPr>
                <w:noProof/>
                <w:webHidden/>
              </w:rPr>
              <w:instrText xml:space="preserve"> PAGEREF _Toc211542210 \h </w:instrText>
            </w:r>
            <w:r>
              <w:rPr>
                <w:noProof/>
                <w:webHidden/>
              </w:rPr>
            </w:r>
            <w:r>
              <w:rPr>
                <w:noProof/>
                <w:webHidden/>
              </w:rPr>
              <w:fldChar w:fldCharType="separate"/>
            </w:r>
            <w:r>
              <w:rPr>
                <w:noProof/>
                <w:webHidden/>
              </w:rPr>
              <w:t>37</w:t>
            </w:r>
            <w:r>
              <w:rPr>
                <w:noProof/>
                <w:webHidden/>
              </w:rPr>
              <w:fldChar w:fldCharType="end"/>
            </w:r>
          </w:hyperlink>
        </w:p>
        <w:p w14:paraId="2CEC68C8" w14:textId="7DACC229" w:rsidR="006B43A3" w:rsidRDefault="006B43A3">
          <w:pPr>
            <w:pStyle w:val="TOC3"/>
            <w:tabs>
              <w:tab w:val="right" w:leader="dot" w:pos="8494"/>
            </w:tabs>
            <w:rPr>
              <w:rFonts w:asciiTheme="minorHAnsi" w:eastAsiaTheme="minorEastAsia" w:hAnsiTheme="minorHAnsi"/>
              <w:noProof/>
              <w:lang w:val="en-US"/>
            </w:rPr>
          </w:pPr>
          <w:hyperlink w:anchor="_Toc211542211" w:history="1">
            <w:r w:rsidRPr="00484C5A">
              <w:rPr>
                <w:rStyle w:val="Hyperlink"/>
                <w:noProof/>
                <w:lang w:val="en-US"/>
              </w:rPr>
              <w:t>8.2.2. Baseline characteristics -táblázat, hivatkozás</w:t>
            </w:r>
            <w:r>
              <w:rPr>
                <w:noProof/>
                <w:webHidden/>
              </w:rPr>
              <w:tab/>
            </w:r>
            <w:r>
              <w:rPr>
                <w:noProof/>
                <w:webHidden/>
              </w:rPr>
              <w:fldChar w:fldCharType="begin"/>
            </w:r>
            <w:r>
              <w:rPr>
                <w:noProof/>
                <w:webHidden/>
              </w:rPr>
              <w:instrText xml:space="preserve"> PAGEREF _Toc211542211 \h </w:instrText>
            </w:r>
            <w:r>
              <w:rPr>
                <w:noProof/>
                <w:webHidden/>
              </w:rPr>
            </w:r>
            <w:r>
              <w:rPr>
                <w:noProof/>
                <w:webHidden/>
              </w:rPr>
              <w:fldChar w:fldCharType="separate"/>
            </w:r>
            <w:r>
              <w:rPr>
                <w:noProof/>
                <w:webHidden/>
              </w:rPr>
              <w:t>37</w:t>
            </w:r>
            <w:r>
              <w:rPr>
                <w:noProof/>
                <w:webHidden/>
              </w:rPr>
              <w:fldChar w:fldCharType="end"/>
            </w:r>
          </w:hyperlink>
        </w:p>
        <w:p w14:paraId="047C7B41" w14:textId="3F38EA34" w:rsidR="006B43A3" w:rsidRDefault="006B43A3">
          <w:pPr>
            <w:pStyle w:val="TOC3"/>
            <w:tabs>
              <w:tab w:val="right" w:leader="dot" w:pos="8494"/>
            </w:tabs>
            <w:rPr>
              <w:rFonts w:asciiTheme="minorHAnsi" w:eastAsiaTheme="minorEastAsia" w:hAnsiTheme="minorHAnsi"/>
              <w:noProof/>
              <w:lang w:val="en-US"/>
            </w:rPr>
          </w:pPr>
          <w:hyperlink w:anchor="_Toc211542212" w:history="1">
            <w:r w:rsidRPr="00484C5A">
              <w:rPr>
                <w:rStyle w:val="Hyperlink"/>
                <w:noProof/>
                <w:lang w:val="en-US"/>
              </w:rPr>
              <w:t>8.2.3. Primary outcome</w:t>
            </w:r>
            <w:r>
              <w:rPr>
                <w:noProof/>
                <w:webHidden/>
              </w:rPr>
              <w:tab/>
            </w:r>
            <w:r>
              <w:rPr>
                <w:noProof/>
                <w:webHidden/>
              </w:rPr>
              <w:fldChar w:fldCharType="begin"/>
            </w:r>
            <w:r>
              <w:rPr>
                <w:noProof/>
                <w:webHidden/>
              </w:rPr>
              <w:instrText xml:space="preserve"> PAGEREF _Toc211542212 \h </w:instrText>
            </w:r>
            <w:r>
              <w:rPr>
                <w:noProof/>
                <w:webHidden/>
              </w:rPr>
            </w:r>
            <w:r>
              <w:rPr>
                <w:noProof/>
                <w:webHidden/>
              </w:rPr>
              <w:fldChar w:fldCharType="separate"/>
            </w:r>
            <w:r>
              <w:rPr>
                <w:noProof/>
                <w:webHidden/>
              </w:rPr>
              <w:t>40</w:t>
            </w:r>
            <w:r>
              <w:rPr>
                <w:noProof/>
                <w:webHidden/>
              </w:rPr>
              <w:fldChar w:fldCharType="end"/>
            </w:r>
          </w:hyperlink>
        </w:p>
        <w:p w14:paraId="369121BD" w14:textId="42243214" w:rsidR="006B43A3" w:rsidRDefault="006B43A3">
          <w:pPr>
            <w:pStyle w:val="TOC3"/>
            <w:tabs>
              <w:tab w:val="right" w:leader="dot" w:pos="8494"/>
            </w:tabs>
            <w:rPr>
              <w:rFonts w:asciiTheme="minorHAnsi" w:eastAsiaTheme="minorEastAsia" w:hAnsiTheme="minorHAnsi"/>
              <w:noProof/>
              <w:lang w:val="en-US"/>
            </w:rPr>
          </w:pPr>
          <w:hyperlink w:anchor="_Toc211542213" w:history="1">
            <w:r w:rsidRPr="00484C5A">
              <w:rPr>
                <w:rStyle w:val="Hyperlink"/>
                <w:noProof/>
                <w:lang w:val="en-US"/>
              </w:rPr>
              <w:t>8.2.4. Secondary outcomes</w:t>
            </w:r>
            <w:r>
              <w:rPr>
                <w:noProof/>
                <w:webHidden/>
              </w:rPr>
              <w:tab/>
            </w:r>
            <w:r>
              <w:rPr>
                <w:noProof/>
                <w:webHidden/>
              </w:rPr>
              <w:fldChar w:fldCharType="begin"/>
            </w:r>
            <w:r>
              <w:rPr>
                <w:noProof/>
                <w:webHidden/>
              </w:rPr>
              <w:instrText xml:space="preserve"> PAGEREF _Toc211542213 \h </w:instrText>
            </w:r>
            <w:r>
              <w:rPr>
                <w:noProof/>
                <w:webHidden/>
              </w:rPr>
            </w:r>
            <w:r>
              <w:rPr>
                <w:noProof/>
                <w:webHidden/>
              </w:rPr>
              <w:fldChar w:fldCharType="separate"/>
            </w:r>
            <w:r>
              <w:rPr>
                <w:noProof/>
                <w:webHidden/>
              </w:rPr>
              <w:t>41</w:t>
            </w:r>
            <w:r>
              <w:rPr>
                <w:noProof/>
                <w:webHidden/>
              </w:rPr>
              <w:fldChar w:fldCharType="end"/>
            </w:r>
          </w:hyperlink>
        </w:p>
        <w:p w14:paraId="78C8212E" w14:textId="3E07E3DF" w:rsidR="006B43A3" w:rsidRDefault="006B43A3">
          <w:pPr>
            <w:pStyle w:val="TOC3"/>
            <w:tabs>
              <w:tab w:val="right" w:leader="dot" w:pos="8494"/>
            </w:tabs>
            <w:rPr>
              <w:rFonts w:asciiTheme="minorHAnsi" w:eastAsiaTheme="minorEastAsia" w:hAnsiTheme="minorHAnsi"/>
              <w:noProof/>
              <w:lang w:val="en-US"/>
            </w:rPr>
          </w:pPr>
          <w:hyperlink w:anchor="_Toc211542214" w:history="1">
            <w:r w:rsidRPr="00484C5A">
              <w:rPr>
                <w:rStyle w:val="Hyperlink"/>
                <w:noProof/>
                <w:lang w:val="en-US"/>
              </w:rPr>
              <w:t>8.2.5. Risk of bias and quality of evidence assessment</w:t>
            </w:r>
            <w:r>
              <w:rPr>
                <w:noProof/>
                <w:webHidden/>
              </w:rPr>
              <w:tab/>
            </w:r>
            <w:r>
              <w:rPr>
                <w:noProof/>
                <w:webHidden/>
              </w:rPr>
              <w:fldChar w:fldCharType="begin"/>
            </w:r>
            <w:r>
              <w:rPr>
                <w:noProof/>
                <w:webHidden/>
              </w:rPr>
              <w:instrText xml:space="preserve"> PAGEREF _Toc211542214 \h </w:instrText>
            </w:r>
            <w:r>
              <w:rPr>
                <w:noProof/>
                <w:webHidden/>
              </w:rPr>
            </w:r>
            <w:r>
              <w:rPr>
                <w:noProof/>
                <w:webHidden/>
              </w:rPr>
              <w:fldChar w:fldCharType="separate"/>
            </w:r>
            <w:r>
              <w:rPr>
                <w:noProof/>
                <w:webHidden/>
              </w:rPr>
              <w:t>44</w:t>
            </w:r>
            <w:r>
              <w:rPr>
                <w:noProof/>
                <w:webHidden/>
              </w:rPr>
              <w:fldChar w:fldCharType="end"/>
            </w:r>
          </w:hyperlink>
        </w:p>
        <w:p w14:paraId="30ADD387" w14:textId="3B8C2677" w:rsidR="006B43A3" w:rsidRDefault="006B43A3">
          <w:pPr>
            <w:pStyle w:val="TOC1"/>
            <w:tabs>
              <w:tab w:val="right" w:leader="dot" w:pos="8494"/>
            </w:tabs>
            <w:rPr>
              <w:rFonts w:asciiTheme="minorHAnsi" w:eastAsiaTheme="minorEastAsia" w:hAnsiTheme="minorHAnsi"/>
              <w:noProof/>
              <w:lang w:val="en-US"/>
            </w:rPr>
          </w:pPr>
          <w:hyperlink w:anchor="_Toc211542215" w:history="1">
            <w:r w:rsidRPr="00484C5A">
              <w:rPr>
                <w:rStyle w:val="Hyperlink"/>
                <w:noProof/>
                <w:lang w:val="en-US"/>
              </w:rPr>
              <w:t>9. DISCUSSION</w:t>
            </w:r>
            <w:r>
              <w:rPr>
                <w:noProof/>
                <w:webHidden/>
              </w:rPr>
              <w:tab/>
            </w:r>
            <w:r>
              <w:rPr>
                <w:noProof/>
                <w:webHidden/>
              </w:rPr>
              <w:fldChar w:fldCharType="begin"/>
            </w:r>
            <w:r>
              <w:rPr>
                <w:noProof/>
                <w:webHidden/>
              </w:rPr>
              <w:instrText xml:space="preserve"> PAGEREF _Toc211542215 \h </w:instrText>
            </w:r>
            <w:r>
              <w:rPr>
                <w:noProof/>
                <w:webHidden/>
              </w:rPr>
            </w:r>
            <w:r>
              <w:rPr>
                <w:noProof/>
                <w:webHidden/>
              </w:rPr>
              <w:fldChar w:fldCharType="separate"/>
            </w:r>
            <w:r>
              <w:rPr>
                <w:noProof/>
                <w:webHidden/>
              </w:rPr>
              <w:t>47</w:t>
            </w:r>
            <w:r>
              <w:rPr>
                <w:noProof/>
                <w:webHidden/>
              </w:rPr>
              <w:fldChar w:fldCharType="end"/>
            </w:r>
          </w:hyperlink>
        </w:p>
        <w:p w14:paraId="1798B897" w14:textId="1286D869" w:rsidR="006B43A3" w:rsidRDefault="006B43A3">
          <w:pPr>
            <w:pStyle w:val="TOC2"/>
            <w:tabs>
              <w:tab w:val="right" w:leader="dot" w:pos="8494"/>
            </w:tabs>
            <w:rPr>
              <w:rFonts w:asciiTheme="minorHAnsi" w:eastAsiaTheme="minorEastAsia" w:hAnsiTheme="minorHAnsi"/>
              <w:noProof/>
              <w:lang w:val="en-US"/>
            </w:rPr>
          </w:pPr>
          <w:hyperlink w:anchor="_Toc211542216" w:history="1">
            <w:r w:rsidRPr="00484C5A">
              <w:rPr>
                <w:rStyle w:val="Hyperlink"/>
                <w:noProof/>
                <w:lang w:val="en-US"/>
              </w:rPr>
              <w:t>9.1. Study I. – Individualized vs. fixed intraoperative PEEP settings</w:t>
            </w:r>
            <w:r>
              <w:rPr>
                <w:noProof/>
                <w:webHidden/>
              </w:rPr>
              <w:tab/>
            </w:r>
            <w:r>
              <w:rPr>
                <w:noProof/>
                <w:webHidden/>
              </w:rPr>
              <w:fldChar w:fldCharType="begin"/>
            </w:r>
            <w:r>
              <w:rPr>
                <w:noProof/>
                <w:webHidden/>
              </w:rPr>
              <w:instrText xml:space="preserve"> PAGEREF _Toc211542216 \h </w:instrText>
            </w:r>
            <w:r>
              <w:rPr>
                <w:noProof/>
                <w:webHidden/>
              </w:rPr>
            </w:r>
            <w:r>
              <w:rPr>
                <w:noProof/>
                <w:webHidden/>
              </w:rPr>
              <w:fldChar w:fldCharType="separate"/>
            </w:r>
            <w:r>
              <w:rPr>
                <w:noProof/>
                <w:webHidden/>
              </w:rPr>
              <w:t>47</w:t>
            </w:r>
            <w:r>
              <w:rPr>
                <w:noProof/>
                <w:webHidden/>
              </w:rPr>
              <w:fldChar w:fldCharType="end"/>
            </w:r>
          </w:hyperlink>
        </w:p>
        <w:p w14:paraId="58EE2476" w14:textId="6D87193A" w:rsidR="006B43A3" w:rsidRDefault="006B43A3">
          <w:pPr>
            <w:pStyle w:val="TOC3"/>
            <w:tabs>
              <w:tab w:val="right" w:leader="dot" w:pos="8494"/>
            </w:tabs>
            <w:rPr>
              <w:rFonts w:asciiTheme="minorHAnsi" w:eastAsiaTheme="minorEastAsia" w:hAnsiTheme="minorHAnsi"/>
              <w:noProof/>
              <w:lang w:val="en-US"/>
            </w:rPr>
          </w:pPr>
          <w:hyperlink w:anchor="_Toc211542217" w:history="1">
            <w:r w:rsidRPr="00484C5A">
              <w:rPr>
                <w:rStyle w:val="Hyperlink"/>
                <w:noProof/>
                <w:lang w:val="en-US"/>
              </w:rPr>
              <w:t>9.1.1. Positive End-Expiratory Pressure settings</w:t>
            </w:r>
            <w:r>
              <w:rPr>
                <w:noProof/>
                <w:webHidden/>
              </w:rPr>
              <w:tab/>
            </w:r>
            <w:r>
              <w:rPr>
                <w:noProof/>
                <w:webHidden/>
              </w:rPr>
              <w:fldChar w:fldCharType="begin"/>
            </w:r>
            <w:r>
              <w:rPr>
                <w:noProof/>
                <w:webHidden/>
              </w:rPr>
              <w:instrText xml:space="preserve"> PAGEREF _Toc211542217 \h </w:instrText>
            </w:r>
            <w:r>
              <w:rPr>
                <w:noProof/>
                <w:webHidden/>
              </w:rPr>
            </w:r>
            <w:r>
              <w:rPr>
                <w:noProof/>
                <w:webHidden/>
              </w:rPr>
              <w:fldChar w:fldCharType="separate"/>
            </w:r>
            <w:r>
              <w:rPr>
                <w:noProof/>
                <w:webHidden/>
              </w:rPr>
              <w:t>47</w:t>
            </w:r>
            <w:r>
              <w:rPr>
                <w:noProof/>
                <w:webHidden/>
              </w:rPr>
              <w:fldChar w:fldCharType="end"/>
            </w:r>
          </w:hyperlink>
        </w:p>
        <w:p w14:paraId="42F9B821" w14:textId="09B5ABFF" w:rsidR="006B43A3" w:rsidRDefault="006B43A3">
          <w:pPr>
            <w:pStyle w:val="TOC3"/>
            <w:tabs>
              <w:tab w:val="right" w:leader="dot" w:pos="8494"/>
            </w:tabs>
            <w:rPr>
              <w:rFonts w:asciiTheme="minorHAnsi" w:eastAsiaTheme="minorEastAsia" w:hAnsiTheme="minorHAnsi"/>
              <w:noProof/>
              <w:lang w:val="en-US"/>
            </w:rPr>
          </w:pPr>
          <w:hyperlink w:anchor="_Toc211542218" w:history="1">
            <w:r w:rsidRPr="00484C5A">
              <w:rPr>
                <w:rStyle w:val="Hyperlink"/>
                <w:noProof/>
                <w:lang w:val="en-US"/>
              </w:rPr>
              <w:t>9.1.2. Postoperative Pulmonary Complications and Oxygenation</w:t>
            </w:r>
            <w:r>
              <w:rPr>
                <w:noProof/>
                <w:webHidden/>
              </w:rPr>
              <w:tab/>
            </w:r>
            <w:r>
              <w:rPr>
                <w:noProof/>
                <w:webHidden/>
              </w:rPr>
              <w:fldChar w:fldCharType="begin"/>
            </w:r>
            <w:r>
              <w:rPr>
                <w:noProof/>
                <w:webHidden/>
              </w:rPr>
              <w:instrText xml:space="preserve"> PAGEREF _Toc211542218 \h </w:instrText>
            </w:r>
            <w:r>
              <w:rPr>
                <w:noProof/>
                <w:webHidden/>
              </w:rPr>
            </w:r>
            <w:r>
              <w:rPr>
                <w:noProof/>
                <w:webHidden/>
              </w:rPr>
              <w:fldChar w:fldCharType="separate"/>
            </w:r>
            <w:r>
              <w:rPr>
                <w:noProof/>
                <w:webHidden/>
              </w:rPr>
              <w:t>47</w:t>
            </w:r>
            <w:r>
              <w:rPr>
                <w:noProof/>
                <w:webHidden/>
              </w:rPr>
              <w:fldChar w:fldCharType="end"/>
            </w:r>
          </w:hyperlink>
        </w:p>
        <w:p w14:paraId="0119AE19" w14:textId="5F84AB53" w:rsidR="006B43A3" w:rsidRDefault="006B43A3">
          <w:pPr>
            <w:pStyle w:val="TOC3"/>
            <w:tabs>
              <w:tab w:val="right" w:leader="dot" w:pos="8494"/>
            </w:tabs>
            <w:rPr>
              <w:rFonts w:asciiTheme="minorHAnsi" w:eastAsiaTheme="minorEastAsia" w:hAnsiTheme="minorHAnsi"/>
              <w:noProof/>
              <w:lang w:val="en-US"/>
            </w:rPr>
          </w:pPr>
          <w:hyperlink w:anchor="_Toc211542219" w:history="1">
            <w:r w:rsidRPr="00484C5A">
              <w:rPr>
                <w:rStyle w:val="Hyperlink"/>
                <w:noProof/>
                <w:lang w:val="en-US"/>
              </w:rPr>
              <w:t>9.1.3. Hemodynamics</w:t>
            </w:r>
            <w:r>
              <w:rPr>
                <w:noProof/>
                <w:webHidden/>
              </w:rPr>
              <w:tab/>
            </w:r>
            <w:r>
              <w:rPr>
                <w:noProof/>
                <w:webHidden/>
              </w:rPr>
              <w:fldChar w:fldCharType="begin"/>
            </w:r>
            <w:r>
              <w:rPr>
                <w:noProof/>
                <w:webHidden/>
              </w:rPr>
              <w:instrText xml:space="preserve"> PAGEREF _Toc211542219 \h </w:instrText>
            </w:r>
            <w:r>
              <w:rPr>
                <w:noProof/>
                <w:webHidden/>
              </w:rPr>
            </w:r>
            <w:r>
              <w:rPr>
                <w:noProof/>
                <w:webHidden/>
              </w:rPr>
              <w:fldChar w:fldCharType="separate"/>
            </w:r>
            <w:r>
              <w:rPr>
                <w:noProof/>
                <w:webHidden/>
              </w:rPr>
              <w:t>48</w:t>
            </w:r>
            <w:r>
              <w:rPr>
                <w:noProof/>
                <w:webHidden/>
              </w:rPr>
              <w:fldChar w:fldCharType="end"/>
            </w:r>
          </w:hyperlink>
        </w:p>
        <w:p w14:paraId="51389BF8" w14:textId="3F087740" w:rsidR="006B43A3" w:rsidRDefault="006B43A3">
          <w:pPr>
            <w:pStyle w:val="TOC3"/>
            <w:tabs>
              <w:tab w:val="right" w:leader="dot" w:pos="8494"/>
            </w:tabs>
            <w:rPr>
              <w:rFonts w:asciiTheme="minorHAnsi" w:eastAsiaTheme="minorEastAsia" w:hAnsiTheme="minorHAnsi"/>
              <w:noProof/>
              <w:lang w:val="en-US"/>
            </w:rPr>
          </w:pPr>
          <w:hyperlink w:anchor="_Toc211542220" w:history="1">
            <w:r w:rsidRPr="00484C5A">
              <w:rPr>
                <w:rStyle w:val="Hyperlink"/>
                <w:noProof/>
                <w:lang w:val="en-US"/>
              </w:rPr>
              <w:t>9.1.4. Respiratory Mechanics</w:t>
            </w:r>
            <w:r>
              <w:rPr>
                <w:noProof/>
                <w:webHidden/>
              </w:rPr>
              <w:tab/>
            </w:r>
            <w:r>
              <w:rPr>
                <w:noProof/>
                <w:webHidden/>
              </w:rPr>
              <w:fldChar w:fldCharType="begin"/>
            </w:r>
            <w:r>
              <w:rPr>
                <w:noProof/>
                <w:webHidden/>
              </w:rPr>
              <w:instrText xml:space="preserve"> PAGEREF _Toc211542220 \h </w:instrText>
            </w:r>
            <w:r>
              <w:rPr>
                <w:noProof/>
                <w:webHidden/>
              </w:rPr>
            </w:r>
            <w:r>
              <w:rPr>
                <w:noProof/>
                <w:webHidden/>
              </w:rPr>
              <w:fldChar w:fldCharType="separate"/>
            </w:r>
            <w:r>
              <w:rPr>
                <w:noProof/>
                <w:webHidden/>
              </w:rPr>
              <w:t>49</w:t>
            </w:r>
            <w:r>
              <w:rPr>
                <w:noProof/>
                <w:webHidden/>
              </w:rPr>
              <w:fldChar w:fldCharType="end"/>
            </w:r>
          </w:hyperlink>
        </w:p>
        <w:p w14:paraId="03C45D5A" w14:textId="4CD147C9" w:rsidR="006B43A3" w:rsidRDefault="006B43A3">
          <w:pPr>
            <w:pStyle w:val="TOC3"/>
            <w:tabs>
              <w:tab w:val="right" w:leader="dot" w:pos="8494"/>
            </w:tabs>
            <w:rPr>
              <w:rFonts w:asciiTheme="minorHAnsi" w:eastAsiaTheme="minorEastAsia" w:hAnsiTheme="minorHAnsi"/>
              <w:noProof/>
              <w:lang w:val="en-US"/>
            </w:rPr>
          </w:pPr>
          <w:hyperlink w:anchor="_Toc211542221" w:history="1">
            <w:r w:rsidRPr="00484C5A">
              <w:rPr>
                <w:rStyle w:val="Hyperlink"/>
                <w:noProof/>
                <w:lang w:val="en-US"/>
              </w:rPr>
              <w:t>9.1.5. Other Secondary Outcomes</w:t>
            </w:r>
            <w:r>
              <w:rPr>
                <w:noProof/>
                <w:webHidden/>
              </w:rPr>
              <w:tab/>
            </w:r>
            <w:r>
              <w:rPr>
                <w:noProof/>
                <w:webHidden/>
              </w:rPr>
              <w:fldChar w:fldCharType="begin"/>
            </w:r>
            <w:r>
              <w:rPr>
                <w:noProof/>
                <w:webHidden/>
              </w:rPr>
              <w:instrText xml:space="preserve"> PAGEREF _Toc211542221 \h </w:instrText>
            </w:r>
            <w:r>
              <w:rPr>
                <w:noProof/>
                <w:webHidden/>
              </w:rPr>
            </w:r>
            <w:r>
              <w:rPr>
                <w:noProof/>
                <w:webHidden/>
              </w:rPr>
              <w:fldChar w:fldCharType="separate"/>
            </w:r>
            <w:r>
              <w:rPr>
                <w:noProof/>
                <w:webHidden/>
              </w:rPr>
              <w:t>50</w:t>
            </w:r>
            <w:r>
              <w:rPr>
                <w:noProof/>
                <w:webHidden/>
              </w:rPr>
              <w:fldChar w:fldCharType="end"/>
            </w:r>
          </w:hyperlink>
        </w:p>
        <w:p w14:paraId="1F3E05FC" w14:textId="27D3C3E3" w:rsidR="006B43A3" w:rsidRDefault="006B43A3">
          <w:pPr>
            <w:pStyle w:val="TOC2"/>
            <w:tabs>
              <w:tab w:val="right" w:leader="dot" w:pos="8494"/>
            </w:tabs>
            <w:rPr>
              <w:rFonts w:asciiTheme="minorHAnsi" w:eastAsiaTheme="minorEastAsia" w:hAnsiTheme="minorHAnsi"/>
              <w:noProof/>
              <w:lang w:val="en-US"/>
            </w:rPr>
          </w:pPr>
          <w:hyperlink w:anchor="_Toc211542222" w:history="1">
            <w:r w:rsidRPr="00484C5A">
              <w:rPr>
                <w:rStyle w:val="Hyperlink"/>
                <w:noProof/>
                <w:lang w:val="en-US"/>
              </w:rPr>
              <w:t>9.2. Study II. – Hemoadsorption as Adjuvant Therapy in ARDS</w:t>
            </w:r>
            <w:r>
              <w:rPr>
                <w:noProof/>
                <w:webHidden/>
              </w:rPr>
              <w:tab/>
            </w:r>
            <w:r>
              <w:rPr>
                <w:noProof/>
                <w:webHidden/>
              </w:rPr>
              <w:fldChar w:fldCharType="begin"/>
            </w:r>
            <w:r>
              <w:rPr>
                <w:noProof/>
                <w:webHidden/>
              </w:rPr>
              <w:instrText xml:space="preserve"> PAGEREF _Toc211542222 \h </w:instrText>
            </w:r>
            <w:r>
              <w:rPr>
                <w:noProof/>
                <w:webHidden/>
              </w:rPr>
            </w:r>
            <w:r>
              <w:rPr>
                <w:noProof/>
                <w:webHidden/>
              </w:rPr>
              <w:fldChar w:fldCharType="separate"/>
            </w:r>
            <w:r>
              <w:rPr>
                <w:noProof/>
                <w:webHidden/>
              </w:rPr>
              <w:t>51</w:t>
            </w:r>
            <w:r>
              <w:rPr>
                <w:noProof/>
                <w:webHidden/>
              </w:rPr>
              <w:fldChar w:fldCharType="end"/>
            </w:r>
          </w:hyperlink>
        </w:p>
        <w:p w14:paraId="2978688B" w14:textId="045D7BEA" w:rsidR="006B43A3" w:rsidRDefault="006B43A3">
          <w:pPr>
            <w:pStyle w:val="TOC3"/>
            <w:tabs>
              <w:tab w:val="right" w:leader="dot" w:pos="8494"/>
            </w:tabs>
            <w:rPr>
              <w:rFonts w:asciiTheme="minorHAnsi" w:eastAsiaTheme="minorEastAsia" w:hAnsiTheme="minorHAnsi"/>
              <w:noProof/>
              <w:lang w:val="en-US"/>
            </w:rPr>
          </w:pPr>
          <w:hyperlink w:anchor="_Toc211542223" w:history="1">
            <w:r w:rsidRPr="00484C5A">
              <w:rPr>
                <w:rStyle w:val="Hyperlink"/>
                <w:noProof/>
                <w:lang w:val="en-US"/>
              </w:rPr>
              <w:t>9.2.1. Hemoadsorption as an Adjunctive Therapy</w:t>
            </w:r>
            <w:r>
              <w:rPr>
                <w:noProof/>
                <w:webHidden/>
              </w:rPr>
              <w:tab/>
            </w:r>
            <w:r>
              <w:rPr>
                <w:noProof/>
                <w:webHidden/>
              </w:rPr>
              <w:fldChar w:fldCharType="begin"/>
            </w:r>
            <w:r>
              <w:rPr>
                <w:noProof/>
                <w:webHidden/>
              </w:rPr>
              <w:instrText xml:space="preserve"> PAGEREF _Toc211542223 \h </w:instrText>
            </w:r>
            <w:r>
              <w:rPr>
                <w:noProof/>
                <w:webHidden/>
              </w:rPr>
            </w:r>
            <w:r>
              <w:rPr>
                <w:noProof/>
                <w:webHidden/>
              </w:rPr>
              <w:fldChar w:fldCharType="separate"/>
            </w:r>
            <w:r>
              <w:rPr>
                <w:noProof/>
                <w:webHidden/>
              </w:rPr>
              <w:t>51</w:t>
            </w:r>
            <w:r>
              <w:rPr>
                <w:noProof/>
                <w:webHidden/>
              </w:rPr>
              <w:fldChar w:fldCharType="end"/>
            </w:r>
          </w:hyperlink>
        </w:p>
        <w:p w14:paraId="0B4F67BA" w14:textId="4A3BF3E6" w:rsidR="006B43A3" w:rsidRDefault="006B43A3">
          <w:pPr>
            <w:pStyle w:val="TOC3"/>
            <w:tabs>
              <w:tab w:val="right" w:leader="dot" w:pos="8494"/>
            </w:tabs>
            <w:rPr>
              <w:rFonts w:asciiTheme="minorHAnsi" w:eastAsiaTheme="minorEastAsia" w:hAnsiTheme="minorHAnsi"/>
              <w:noProof/>
              <w:lang w:val="en-US"/>
            </w:rPr>
          </w:pPr>
          <w:hyperlink w:anchor="_Toc211542224" w:history="1">
            <w:r w:rsidRPr="00484C5A">
              <w:rPr>
                <w:rStyle w:val="Hyperlink"/>
                <w:noProof/>
                <w:lang w:val="en-US"/>
              </w:rPr>
              <w:t>9.2.2. Inflammatory Response Modulation</w:t>
            </w:r>
            <w:r>
              <w:rPr>
                <w:noProof/>
                <w:webHidden/>
              </w:rPr>
              <w:tab/>
            </w:r>
            <w:r>
              <w:rPr>
                <w:noProof/>
                <w:webHidden/>
              </w:rPr>
              <w:fldChar w:fldCharType="begin"/>
            </w:r>
            <w:r>
              <w:rPr>
                <w:noProof/>
                <w:webHidden/>
              </w:rPr>
              <w:instrText xml:space="preserve"> PAGEREF _Toc211542224 \h </w:instrText>
            </w:r>
            <w:r>
              <w:rPr>
                <w:noProof/>
                <w:webHidden/>
              </w:rPr>
            </w:r>
            <w:r>
              <w:rPr>
                <w:noProof/>
                <w:webHidden/>
              </w:rPr>
              <w:fldChar w:fldCharType="separate"/>
            </w:r>
            <w:r>
              <w:rPr>
                <w:noProof/>
                <w:webHidden/>
              </w:rPr>
              <w:t>51</w:t>
            </w:r>
            <w:r>
              <w:rPr>
                <w:noProof/>
                <w:webHidden/>
              </w:rPr>
              <w:fldChar w:fldCharType="end"/>
            </w:r>
          </w:hyperlink>
        </w:p>
        <w:p w14:paraId="004B0C23" w14:textId="5C08A299" w:rsidR="006B43A3" w:rsidRDefault="006B43A3">
          <w:pPr>
            <w:pStyle w:val="TOC3"/>
            <w:tabs>
              <w:tab w:val="right" w:leader="dot" w:pos="8494"/>
            </w:tabs>
            <w:rPr>
              <w:rFonts w:asciiTheme="minorHAnsi" w:eastAsiaTheme="minorEastAsia" w:hAnsiTheme="minorHAnsi"/>
              <w:noProof/>
              <w:lang w:val="en-US"/>
            </w:rPr>
          </w:pPr>
          <w:hyperlink w:anchor="_Toc211542225" w:history="1">
            <w:r w:rsidRPr="00484C5A">
              <w:rPr>
                <w:rStyle w:val="Hyperlink"/>
                <w:noProof/>
                <w:lang w:val="en-US"/>
              </w:rPr>
              <w:t>9.2.3. Effects on Oxygenation</w:t>
            </w:r>
            <w:r>
              <w:rPr>
                <w:noProof/>
                <w:webHidden/>
              </w:rPr>
              <w:tab/>
            </w:r>
            <w:r>
              <w:rPr>
                <w:noProof/>
                <w:webHidden/>
              </w:rPr>
              <w:fldChar w:fldCharType="begin"/>
            </w:r>
            <w:r>
              <w:rPr>
                <w:noProof/>
                <w:webHidden/>
              </w:rPr>
              <w:instrText xml:space="preserve"> PAGEREF _Toc211542225 \h </w:instrText>
            </w:r>
            <w:r>
              <w:rPr>
                <w:noProof/>
                <w:webHidden/>
              </w:rPr>
            </w:r>
            <w:r>
              <w:rPr>
                <w:noProof/>
                <w:webHidden/>
              </w:rPr>
              <w:fldChar w:fldCharType="separate"/>
            </w:r>
            <w:r>
              <w:rPr>
                <w:noProof/>
                <w:webHidden/>
              </w:rPr>
              <w:t>52</w:t>
            </w:r>
            <w:r>
              <w:rPr>
                <w:noProof/>
                <w:webHidden/>
              </w:rPr>
              <w:fldChar w:fldCharType="end"/>
            </w:r>
          </w:hyperlink>
        </w:p>
        <w:p w14:paraId="5A1D4BB7" w14:textId="4AC1D2F8" w:rsidR="006B43A3" w:rsidRDefault="006B43A3">
          <w:pPr>
            <w:pStyle w:val="TOC3"/>
            <w:tabs>
              <w:tab w:val="right" w:leader="dot" w:pos="8494"/>
            </w:tabs>
            <w:rPr>
              <w:rFonts w:asciiTheme="minorHAnsi" w:eastAsiaTheme="minorEastAsia" w:hAnsiTheme="minorHAnsi"/>
              <w:noProof/>
              <w:lang w:val="en-US"/>
            </w:rPr>
          </w:pPr>
          <w:hyperlink w:anchor="_Toc211542226" w:history="1">
            <w:r w:rsidRPr="00484C5A">
              <w:rPr>
                <w:rStyle w:val="Hyperlink"/>
                <w:noProof/>
                <w:lang w:val="en-US"/>
              </w:rPr>
              <w:t>9.2.4. Hemoadsorption in COVID-19 Patients</w:t>
            </w:r>
            <w:r>
              <w:rPr>
                <w:noProof/>
                <w:webHidden/>
              </w:rPr>
              <w:tab/>
            </w:r>
            <w:r>
              <w:rPr>
                <w:noProof/>
                <w:webHidden/>
              </w:rPr>
              <w:fldChar w:fldCharType="begin"/>
            </w:r>
            <w:r>
              <w:rPr>
                <w:noProof/>
                <w:webHidden/>
              </w:rPr>
              <w:instrText xml:space="preserve"> PAGEREF _Toc211542226 \h </w:instrText>
            </w:r>
            <w:r>
              <w:rPr>
                <w:noProof/>
                <w:webHidden/>
              </w:rPr>
            </w:r>
            <w:r>
              <w:rPr>
                <w:noProof/>
                <w:webHidden/>
              </w:rPr>
              <w:fldChar w:fldCharType="separate"/>
            </w:r>
            <w:r>
              <w:rPr>
                <w:noProof/>
                <w:webHidden/>
              </w:rPr>
              <w:t>53</w:t>
            </w:r>
            <w:r>
              <w:rPr>
                <w:noProof/>
                <w:webHidden/>
              </w:rPr>
              <w:fldChar w:fldCharType="end"/>
            </w:r>
          </w:hyperlink>
        </w:p>
        <w:p w14:paraId="30EEA3BE" w14:textId="62E2C607" w:rsidR="006B43A3" w:rsidRDefault="006B43A3">
          <w:pPr>
            <w:pStyle w:val="TOC3"/>
            <w:tabs>
              <w:tab w:val="right" w:leader="dot" w:pos="8494"/>
            </w:tabs>
            <w:rPr>
              <w:rFonts w:asciiTheme="minorHAnsi" w:eastAsiaTheme="minorEastAsia" w:hAnsiTheme="minorHAnsi"/>
              <w:noProof/>
              <w:lang w:val="en-US"/>
            </w:rPr>
          </w:pPr>
          <w:hyperlink w:anchor="_Toc211542227" w:history="1">
            <w:r w:rsidRPr="00484C5A">
              <w:rPr>
                <w:rStyle w:val="Hyperlink"/>
                <w:noProof/>
                <w:lang w:val="en-US"/>
              </w:rPr>
              <w:t>9.2.5. Procedure Safety and Mortality</w:t>
            </w:r>
            <w:r>
              <w:rPr>
                <w:noProof/>
                <w:webHidden/>
              </w:rPr>
              <w:tab/>
            </w:r>
            <w:r>
              <w:rPr>
                <w:noProof/>
                <w:webHidden/>
              </w:rPr>
              <w:fldChar w:fldCharType="begin"/>
            </w:r>
            <w:r>
              <w:rPr>
                <w:noProof/>
                <w:webHidden/>
              </w:rPr>
              <w:instrText xml:space="preserve"> PAGEREF _Toc211542227 \h </w:instrText>
            </w:r>
            <w:r>
              <w:rPr>
                <w:noProof/>
                <w:webHidden/>
              </w:rPr>
            </w:r>
            <w:r>
              <w:rPr>
                <w:noProof/>
                <w:webHidden/>
              </w:rPr>
              <w:fldChar w:fldCharType="separate"/>
            </w:r>
            <w:r>
              <w:rPr>
                <w:noProof/>
                <w:webHidden/>
              </w:rPr>
              <w:t>53</w:t>
            </w:r>
            <w:r>
              <w:rPr>
                <w:noProof/>
                <w:webHidden/>
              </w:rPr>
              <w:fldChar w:fldCharType="end"/>
            </w:r>
          </w:hyperlink>
        </w:p>
        <w:p w14:paraId="4E0C8657" w14:textId="4A6D7AED" w:rsidR="006B43A3" w:rsidRDefault="006B43A3">
          <w:pPr>
            <w:pStyle w:val="TOC2"/>
            <w:tabs>
              <w:tab w:val="right" w:leader="dot" w:pos="8494"/>
            </w:tabs>
            <w:rPr>
              <w:rFonts w:asciiTheme="minorHAnsi" w:eastAsiaTheme="minorEastAsia" w:hAnsiTheme="minorHAnsi"/>
              <w:noProof/>
              <w:lang w:val="en-US"/>
            </w:rPr>
          </w:pPr>
          <w:hyperlink w:anchor="_Toc211542228" w:history="1">
            <w:r w:rsidRPr="00484C5A">
              <w:rPr>
                <w:rStyle w:val="Hyperlink"/>
                <w:noProof/>
                <w:lang w:val="en-US"/>
              </w:rPr>
              <w:t>9.3. Strengths (including all studies)</w:t>
            </w:r>
            <w:r>
              <w:rPr>
                <w:noProof/>
                <w:webHidden/>
              </w:rPr>
              <w:tab/>
            </w:r>
            <w:r>
              <w:rPr>
                <w:noProof/>
                <w:webHidden/>
              </w:rPr>
              <w:fldChar w:fldCharType="begin"/>
            </w:r>
            <w:r>
              <w:rPr>
                <w:noProof/>
                <w:webHidden/>
              </w:rPr>
              <w:instrText xml:space="preserve"> PAGEREF _Toc211542228 \h </w:instrText>
            </w:r>
            <w:r>
              <w:rPr>
                <w:noProof/>
                <w:webHidden/>
              </w:rPr>
            </w:r>
            <w:r>
              <w:rPr>
                <w:noProof/>
                <w:webHidden/>
              </w:rPr>
              <w:fldChar w:fldCharType="separate"/>
            </w:r>
            <w:r>
              <w:rPr>
                <w:noProof/>
                <w:webHidden/>
              </w:rPr>
              <w:t>53</w:t>
            </w:r>
            <w:r>
              <w:rPr>
                <w:noProof/>
                <w:webHidden/>
              </w:rPr>
              <w:fldChar w:fldCharType="end"/>
            </w:r>
          </w:hyperlink>
        </w:p>
        <w:p w14:paraId="518A9B09" w14:textId="74DC01BC" w:rsidR="006B43A3" w:rsidRDefault="006B43A3">
          <w:pPr>
            <w:pStyle w:val="TOC2"/>
            <w:tabs>
              <w:tab w:val="right" w:leader="dot" w:pos="8494"/>
            </w:tabs>
            <w:rPr>
              <w:rFonts w:asciiTheme="minorHAnsi" w:eastAsiaTheme="minorEastAsia" w:hAnsiTheme="minorHAnsi"/>
              <w:noProof/>
              <w:lang w:val="en-US"/>
            </w:rPr>
          </w:pPr>
          <w:hyperlink w:anchor="_Toc211542229" w:history="1">
            <w:r w:rsidRPr="00484C5A">
              <w:rPr>
                <w:rStyle w:val="Hyperlink"/>
                <w:noProof/>
                <w:lang w:val="en-US"/>
              </w:rPr>
              <w:t>9.4. Limitations</w:t>
            </w:r>
            <w:r>
              <w:rPr>
                <w:noProof/>
                <w:webHidden/>
              </w:rPr>
              <w:tab/>
            </w:r>
            <w:r>
              <w:rPr>
                <w:noProof/>
                <w:webHidden/>
              </w:rPr>
              <w:fldChar w:fldCharType="begin"/>
            </w:r>
            <w:r>
              <w:rPr>
                <w:noProof/>
                <w:webHidden/>
              </w:rPr>
              <w:instrText xml:space="preserve"> PAGEREF _Toc211542229 \h </w:instrText>
            </w:r>
            <w:r>
              <w:rPr>
                <w:noProof/>
                <w:webHidden/>
              </w:rPr>
            </w:r>
            <w:r>
              <w:rPr>
                <w:noProof/>
                <w:webHidden/>
              </w:rPr>
              <w:fldChar w:fldCharType="separate"/>
            </w:r>
            <w:r>
              <w:rPr>
                <w:noProof/>
                <w:webHidden/>
              </w:rPr>
              <w:t>53</w:t>
            </w:r>
            <w:r>
              <w:rPr>
                <w:noProof/>
                <w:webHidden/>
              </w:rPr>
              <w:fldChar w:fldCharType="end"/>
            </w:r>
          </w:hyperlink>
        </w:p>
        <w:p w14:paraId="4D6A8388" w14:textId="7E007451" w:rsidR="006B43A3" w:rsidRDefault="006B43A3">
          <w:pPr>
            <w:pStyle w:val="TOC1"/>
            <w:tabs>
              <w:tab w:val="right" w:leader="dot" w:pos="8494"/>
            </w:tabs>
            <w:rPr>
              <w:rFonts w:asciiTheme="minorHAnsi" w:eastAsiaTheme="minorEastAsia" w:hAnsiTheme="minorHAnsi"/>
              <w:noProof/>
              <w:lang w:val="en-US"/>
            </w:rPr>
          </w:pPr>
          <w:hyperlink w:anchor="_Toc211542230" w:history="1">
            <w:r w:rsidRPr="00484C5A">
              <w:rPr>
                <w:rStyle w:val="Hyperlink"/>
                <w:noProof/>
                <w:lang w:val="en-US"/>
              </w:rPr>
              <w:t>10. CONCLUSIONS</w:t>
            </w:r>
            <w:r>
              <w:rPr>
                <w:noProof/>
                <w:webHidden/>
              </w:rPr>
              <w:tab/>
            </w:r>
            <w:r>
              <w:rPr>
                <w:noProof/>
                <w:webHidden/>
              </w:rPr>
              <w:fldChar w:fldCharType="begin"/>
            </w:r>
            <w:r>
              <w:rPr>
                <w:noProof/>
                <w:webHidden/>
              </w:rPr>
              <w:instrText xml:space="preserve"> PAGEREF _Toc211542230 \h </w:instrText>
            </w:r>
            <w:r>
              <w:rPr>
                <w:noProof/>
                <w:webHidden/>
              </w:rPr>
            </w:r>
            <w:r>
              <w:rPr>
                <w:noProof/>
                <w:webHidden/>
              </w:rPr>
              <w:fldChar w:fldCharType="separate"/>
            </w:r>
            <w:r>
              <w:rPr>
                <w:noProof/>
                <w:webHidden/>
              </w:rPr>
              <w:t>55</w:t>
            </w:r>
            <w:r>
              <w:rPr>
                <w:noProof/>
                <w:webHidden/>
              </w:rPr>
              <w:fldChar w:fldCharType="end"/>
            </w:r>
          </w:hyperlink>
        </w:p>
        <w:p w14:paraId="0A44DB64" w14:textId="00074B57" w:rsidR="006B43A3" w:rsidRDefault="006B43A3">
          <w:pPr>
            <w:pStyle w:val="TOC2"/>
            <w:tabs>
              <w:tab w:val="right" w:leader="dot" w:pos="8494"/>
            </w:tabs>
            <w:rPr>
              <w:rFonts w:asciiTheme="minorHAnsi" w:eastAsiaTheme="minorEastAsia" w:hAnsiTheme="minorHAnsi"/>
              <w:noProof/>
              <w:lang w:val="en-US"/>
            </w:rPr>
          </w:pPr>
          <w:hyperlink w:anchor="_Toc211542231" w:history="1">
            <w:r w:rsidRPr="00484C5A">
              <w:rPr>
                <w:rStyle w:val="Hyperlink"/>
                <w:noProof/>
                <w:lang w:val="en-US"/>
              </w:rPr>
              <w:t>10.1. Study I. – Individualized vs. fixed intraoperative PEEP settings</w:t>
            </w:r>
            <w:r>
              <w:rPr>
                <w:noProof/>
                <w:webHidden/>
              </w:rPr>
              <w:tab/>
            </w:r>
            <w:r>
              <w:rPr>
                <w:noProof/>
                <w:webHidden/>
              </w:rPr>
              <w:fldChar w:fldCharType="begin"/>
            </w:r>
            <w:r>
              <w:rPr>
                <w:noProof/>
                <w:webHidden/>
              </w:rPr>
              <w:instrText xml:space="preserve"> PAGEREF _Toc211542231 \h </w:instrText>
            </w:r>
            <w:r>
              <w:rPr>
                <w:noProof/>
                <w:webHidden/>
              </w:rPr>
            </w:r>
            <w:r>
              <w:rPr>
                <w:noProof/>
                <w:webHidden/>
              </w:rPr>
              <w:fldChar w:fldCharType="separate"/>
            </w:r>
            <w:r>
              <w:rPr>
                <w:noProof/>
                <w:webHidden/>
              </w:rPr>
              <w:t>55</w:t>
            </w:r>
            <w:r>
              <w:rPr>
                <w:noProof/>
                <w:webHidden/>
              </w:rPr>
              <w:fldChar w:fldCharType="end"/>
            </w:r>
          </w:hyperlink>
        </w:p>
        <w:p w14:paraId="0EA13CC9" w14:textId="1F3DA996" w:rsidR="006B43A3" w:rsidRDefault="006B43A3">
          <w:pPr>
            <w:pStyle w:val="TOC2"/>
            <w:tabs>
              <w:tab w:val="right" w:leader="dot" w:pos="8494"/>
            </w:tabs>
            <w:rPr>
              <w:rFonts w:asciiTheme="minorHAnsi" w:eastAsiaTheme="minorEastAsia" w:hAnsiTheme="minorHAnsi"/>
              <w:noProof/>
              <w:lang w:val="en-US"/>
            </w:rPr>
          </w:pPr>
          <w:hyperlink w:anchor="_Toc211542232" w:history="1">
            <w:r w:rsidRPr="00484C5A">
              <w:rPr>
                <w:rStyle w:val="Hyperlink"/>
                <w:noProof/>
                <w:lang w:val="en-US"/>
              </w:rPr>
              <w:t>10.2. Study II. – Hemoadsorption as Adjuvant Therapy in ARDS</w:t>
            </w:r>
            <w:r>
              <w:rPr>
                <w:noProof/>
                <w:webHidden/>
              </w:rPr>
              <w:tab/>
            </w:r>
            <w:r>
              <w:rPr>
                <w:noProof/>
                <w:webHidden/>
              </w:rPr>
              <w:fldChar w:fldCharType="begin"/>
            </w:r>
            <w:r>
              <w:rPr>
                <w:noProof/>
                <w:webHidden/>
              </w:rPr>
              <w:instrText xml:space="preserve"> PAGEREF _Toc211542232 \h </w:instrText>
            </w:r>
            <w:r>
              <w:rPr>
                <w:noProof/>
                <w:webHidden/>
              </w:rPr>
            </w:r>
            <w:r>
              <w:rPr>
                <w:noProof/>
                <w:webHidden/>
              </w:rPr>
              <w:fldChar w:fldCharType="separate"/>
            </w:r>
            <w:r>
              <w:rPr>
                <w:noProof/>
                <w:webHidden/>
              </w:rPr>
              <w:t>55</w:t>
            </w:r>
            <w:r>
              <w:rPr>
                <w:noProof/>
                <w:webHidden/>
              </w:rPr>
              <w:fldChar w:fldCharType="end"/>
            </w:r>
          </w:hyperlink>
        </w:p>
        <w:p w14:paraId="5AA59A00" w14:textId="54A4FC74" w:rsidR="006B43A3" w:rsidRDefault="006B43A3">
          <w:pPr>
            <w:pStyle w:val="TOC1"/>
            <w:tabs>
              <w:tab w:val="right" w:leader="dot" w:pos="8494"/>
            </w:tabs>
            <w:rPr>
              <w:rFonts w:asciiTheme="minorHAnsi" w:eastAsiaTheme="minorEastAsia" w:hAnsiTheme="minorHAnsi"/>
              <w:noProof/>
              <w:lang w:val="en-US"/>
            </w:rPr>
          </w:pPr>
          <w:hyperlink w:anchor="_Toc211542233" w:history="1">
            <w:r w:rsidRPr="00484C5A">
              <w:rPr>
                <w:rStyle w:val="Hyperlink"/>
                <w:noProof/>
                <w:lang w:val="en-US"/>
              </w:rPr>
              <w:t>11. IMPLEMENTATION FOR PRACTICE</w:t>
            </w:r>
            <w:r>
              <w:rPr>
                <w:noProof/>
                <w:webHidden/>
              </w:rPr>
              <w:tab/>
            </w:r>
            <w:r>
              <w:rPr>
                <w:noProof/>
                <w:webHidden/>
              </w:rPr>
              <w:fldChar w:fldCharType="begin"/>
            </w:r>
            <w:r>
              <w:rPr>
                <w:noProof/>
                <w:webHidden/>
              </w:rPr>
              <w:instrText xml:space="preserve"> PAGEREF _Toc211542233 \h </w:instrText>
            </w:r>
            <w:r>
              <w:rPr>
                <w:noProof/>
                <w:webHidden/>
              </w:rPr>
            </w:r>
            <w:r>
              <w:rPr>
                <w:noProof/>
                <w:webHidden/>
              </w:rPr>
              <w:fldChar w:fldCharType="separate"/>
            </w:r>
            <w:r>
              <w:rPr>
                <w:noProof/>
                <w:webHidden/>
              </w:rPr>
              <w:t>56</w:t>
            </w:r>
            <w:r>
              <w:rPr>
                <w:noProof/>
                <w:webHidden/>
              </w:rPr>
              <w:fldChar w:fldCharType="end"/>
            </w:r>
          </w:hyperlink>
        </w:p>
        <w:p w14:paraId="1E11C792" w14:textId="3AFB690B" w:rsidR="006B43A3" w:rsidRDefault="006B43A3">
          <w:pPr>
            <w:pStyle w:val="TOC1"/>
            <w:tabs>
              <w:tab w:val="right" w:leader="dot" w:pos="8494"/>
            </w:tabs>
            <w:rPr>
              <w:rFonts w:asciiTheme="minorHAnsi" w:eastAsiaTheme="minorEastAsia" w:hAnsiTheme="minorHAnsi"/>
              <w:noProof/>
              <w:lang w:val="en-US"/>
            </w:rPr>
          </w:pPr>
          <w:hyperlink w:anchor="_Toc211542234" w:history="1">
            <w:r w:rsidRPr="00484C5A">
              <w:rPr>
                <w:rStyle w:val="Hyperlink"/>
                <w:noProof/>
                <w:lang w:val="en-US"/>
              </w:rPr>
              <w:t>12. IMPLEMENTATION FOR</w:t>
            </w:r>
            <w:r w:rsidRPr="00484C5A">
              <w:rPr>
                <w:rStyle w:val="Hyperlink"/>
                <w:noProof/>
              </w:rPr>
              <w:t xml:space="preserve"> RESEARCH</w:t>
            </w:r>
            <w:r>
              <w:rPr>
                <w:noProof/>
                <w:webHidden/>
              </w:rPr>
              <w:tab/>
            </w:r>
            <w:r>
              <w:rPr>
                <w:noProof/>
                <w:webHidden/>
              </w:rPr>
              <w:fldChar w:fldCharType="begin"/>
            </w:r>
            <w:r>
              <w:rPr>
                <w:noProof/>
                <w:webHidden/>
              </w:rPr>
              <w:instrText xml:space="preserve"> PAGEREF _Toc211542234 \h </w:instrText>
            </w:r>
            <w:r>
              <w:rPr>
                <w:noProof/>
                <w:webHidden/>
              </w:rPr>
            </w:r>
            <w:r>
              <w:rPr>
                <w:noProof/>
                <w:webHidden/>
              </w:rPr>
              <w:fldChar w:fldCharType="separate"/>
            </w:r>
            <w:r>
              <w:rPr>
                <w:noProof/>
                <w:webHidden/>
              </w:rPr>
              <w:t>57</w:t>
            </w:r>
            <w:r>
              <w:rPr>
                <w:noProof/>
                <w:webHidden/>
              </w:rPr>
              <w:fldChar w:fldCharType="end"/>
            </w:r>
          </w:hyperlink>
        </w:p>
        <w:p w14:paraId="2B21F027" w14:textId="5957F5DC" w:rsidR="006B43A3" w:rsidRDefault="006B43A3">
          <w:pPr>
            <w:pStyle w:val="TOC1"/>
            <w:tabs>
              <w:tab w:val="right" w:leader="dot" w:pos="8494"/>
            </w:tabs>
            <w:rPr>
              <w:rFonts w:asciiTheme="minorHAnsi" w:eastAsiaTheme="minorEastAsia" w:hAnsiTheme="minorHAnsi"/>
              <w:noProof/>
              <w:lang w:val="en-US"/>
            </w:rPr>
          </w:pPr>
          <w:hyperlink w:anchor="_Toc211542235" w:history="1">
            <w:r w:rsidRPr="00484C5A">
              <w:rPr>
                <w:rStyle w:val="Hyperlink"/>
                <w:noProof/>
              </w:rPr>
              <w:t xml:space="preserve">13. </w:t>
            </w:r>
            <w:r w:rsidRPr="00484C5A">
              <w:rPr>
                <w:rStyle w:val="Hyperlink"/>
                <w:caps/>
                <w:noProof/>
              </w:rPr>
              <w:t>Implementation for Policymakers</w:t>
            </w:r>
            <w:r>
              <w:rPr>
                <w:noProof/>
                <w:webHidden/>
              </w:rPr>
              <w:tab/>
            </w:r>
            <w:r>
              <w:rPr>
                <w:noProof/>
                <w:webHidden/>
              </w:rPr>
              <w:fldChar w:fldCharType="begin"/>
            </w:r>
            <w:r>
              <w:rPr>
                <w:noProof/>
                <w:webHidden/>
              </w:rPr>
              <w:instrText xml:space="preserve"> PAGEREF _Toc211542235 \h </w:instrText>
            </w:r>
            <w:r>
              <w:rPr>
                <w:noProof/>
                <w:webHidden/>
              </w:rPr>
            </w:r>
            <w:r>
              <w:rPr>
                <w:noProof/>
                <w:webHidden/>
              </w:rPr>
              <w:fldChar w:fldCharType="separate"/>
            </w:r>
            <w:r>
              <w:rPr>
                <w:noProof/>
                <w:webHidden/>
              </w:rPr>
              <w:t>58</w:t>
            </w:r>
            <w:r>
              <w:rPr>
                <w:noProof/>
                <w:webHidden/>
              </w:rPr>
              <w:fldChar w:fldCharType="end"/>
            </w:r>
          </w:hyperlink>
        </w:p>
        <w:p w14:paraId="5006BFEA" w14:textId="2CCA6637" w:rsidR="006B43A3" w:rsidRDefault="006B43A3">
          <w:pPr>
            <w:pStyle w:val="TOC1"/>
            <w:tabs>
              <w:tab w:val="right" w:leader="dot" w:pos="8494"/>
            </w:tabs>
            <w:rPr>
              <w:rFonts w:asciiTheme="minorHAnsi" w:eastAsiaTheme="minorEastAsia" w:hAnsiTheme="minorHAnsi"/>
              <w:noProof/>
              <w:lang w:val="en-US"/>
            </w:rPr>
          </w:pPr>
          <w:hyperlink w:anchor="_Toc211542236" w:history="1">
            <w:r w:rsidRPr="00484C5A">
              <w:rPr>
                <w:rStyle w:val="Hyperlink"/>
                <w:noProof/>
                <w:lang w:val="en-US"/>
              </w:rPr>
              <w:t>14. FUTURE PERSPECTIVES</w:t>
            </w:r>
            <w:r>
              <w:rPr>
                <w:noProof/>
                <w:webHidden/>
              </w:rPr>
              <w:tab/>
            </w:r>
            <w:r>
              <w:rPr>
                <w:noProof/>
                <w:webHidden/>
              </w:rPr>
              <w:fldChar w:fldCharType="begin"/>
            </w:r>
            <w:r>
              <w:rPr>
                <w:noProof/>
                <w:webHidden/>
              </w:rPr>
              <w:instrText xml:space="preserve"> PAGEREF _Toc211542236 \h </w:instrText>
            </w:r>
            <w:r>
              <w:rPr>
                <w:noProof/>
                <w:webHidden/>
              </w:rPr>
            </w:r>
            <w:r>
              <w:rPr>
                <w:noProof/>
                <w:webHidden/>
              </w:rPr>
              <w:fldChar w:fldCharType="separate"/>
            </w:r>
            <w:r>
              <w:rPr>
                <w:noProof/>
                <w:webHidden/>
              </w:rPr>
              <w:t>59</w:t>
            </w:r>
            <w:r>
              <w:rPr>
                <w:noProof/>
                <w:webHidden/>
              </w:rPr>
              <w:fldChar w:fldCharType="end"/>
            </w:r>
          </w:hyperlink>
        </w:p>
        <w:p w14:paraId="2DFD533E" w14:textId="42C5DA00" w:rsidR="006B43A3" w:rsidRDefault="006B43A3">
          <w:pPr>
            <w:pStyle w:val="TOC1"/>
            <w:tabs>
              <w:tab w:val="right" w:leader="dot" w:pos="8494"/>
            </w:tabs>
            <w:rPr>
              <w:rFonts w:asciiTheme="minorHAnsi" w:eastAsiaTheme="minorEastAsia" w:hAnsiTheme="minorHAnsi"/>
              <w:noProof/>
              <w:lang w:val="en-US"/>
            </w:rPr>
          </w:pPr>
          <w:hyperlink w:anchor="_Toc211542237" w:history="1">
            <w:r w:rsidRPr="00484C5A">
              <w:rPr>
                <w:rStyle w:val="Hyperlink"/>
                <w:noProof/>
                <w:lang w:val="en-US"/>
              </w:rPr>
              <w:t>15. REFERENCES</w:t>
            </w:r>
            <w:r>
              <w:rPr>
                <w:noProof/>
                <w:webHidden/>
              </w:rPr>
              <w:tab/>
            </w:r>
            <w:r>
              <w:rPr>
                <w:noProof/>
                <w:webHidden/>
              </w:rPr>
              <w:fldChar w:fldCharType="begin"/>
            </w:r>
            <w:r>
              <w:rPr>
                <w:noProof/>
                <w:webHidden/>
              </w:rPr>
              <w:instrText xml:space="preserve"> PAGEREF _Toc211542237 \h </w:instrText>
            </w:r>
            <w:r>
              <w:rPr>
                <w:noProof/>
                <w:webHidden/>
              </w:rPr>
            </w:r>
            <w:r>
              <w:rPr>
                <w:noProof/>
                <w:webHidden/>
              </w:rPr>
              <w:fldChar w:fldCharType="separate"/>
            </w:r>
            <w:r>
              <w:rPr>
                <w:noProof/>
                <w:webHidden/>
              </w:rPr>
              <w:t>60</w:t>
            </w:r>
            <w:r>
              <w:rPr>
                <w:noProof/>
                <w:webHidden/>
              </w:rPr>
              <w:fldChar w:fldCharType="end"/>
            </w:r>
          </w:hyperlink>
        </w:p>
        <w:p w14:paraId="6A6F4631" w14:textId="7B0A97C7" w:rsidR="006B43A3" w:rsidRDefault="006B43A3">
          <w:pPr>
            <w:pStyle w:val="TOC1"/>
            <w:tabs>
              <w:tab w:val="right" w:leader="dot" w:pos="8494"/>
            </w:tabs>
            <w:rPr>
              <w:rFonts w:asciiTheme="minorHAnsi" w:eastAsiaTheme="minorEastAsia" w:hAnsiTheme="minorHAnsi"/>
              <w:noProof/>
              <w:lang w:val="en-US"/>
            </w:rPr>
          </w:pPr>
          <w:hyperlink w:anchor="_Toc211542238" w:history="1">
            <w:r w:rsidRPr="00484C5A">
              <w:rPr>
                <w:rStyle w:val="Hyperlink"/>
                <w:noProof/>
                <w:lang w:val="en-US"/>
              </w:rPr>
              <w:t>16. BIBLIOGRAPHY</w:t>
            </w:r>
            <w:r>
              <w:rPr>
                <w:noProof/>
                <w:webHidden/>
              </w:rPr>
              <w:tab/>
            </w:r>
            <w:r>
              <w:rPr>
                <w:noProof/>
                <w:webHidden/>
              </w:rPr>
              <w:fldChar w:fldCharType="begin"/>
            </w:r>
            <w:r>
              <w:rPr>
                <w:noProof/>
                <w:webHidden/>
              </w:rPr>
              <w:instrText xml:space="preserve"> PAGEREF _Toc211542238 \h </w:instrText>
            </w:r>
            <w:r>
              <w:rPr>
                <w:noProof/>
                <w:webHidden/>
              </w:rPr>
            </w:r>
            <w:r>
              <w:rPr>
                <w:noProof/>
                <w:webHidden/>
              </w:rPr>
              <w:fldChar w:fldCharType="separate"/>
            </w:r>
            <w:r>
              <w:rPr>
                <w:noProof/>
                <w:webHidden/>
              </w:rPr>
              <w:t>73</w:t>
            </w:r>
            <w:r>
              <w:rPr>
                <w:noProof/>
                <w:webHidden/>
              </w:rPr>
              <w:fldChar w:fldCharType="end"/>
            </w:r>
          </w:hyperlink>
        </w:p>
        <w:p w14:paraId="49E4A961" w14:textId="677B175A" w:rsidR="006B43A3" w:rsidRDefault="006B43A3">
          <w:pPr>
            <w:pStyle w:val="TOC2"/>
            <w:tabs>
              <w:tab w:val="right" w:leader="dot" w:pos="8494"/>
            </w:tabs>
            <w:rPr>
              <w:rFonts w:asciiTheme="minorHAnsi" w:eastAsiaTheme="minorEastAsia" w:hAnsiTheme="minorHAnsi"/>
              <w:noProof/>
              <w:lang w:val="en-US"/>
            </w:rPr>
          </w:pPr>
          <w:hyperlink w:anchor="_Toc211542239" w:history="1">
            <w:r w:rsidRPr="00484C5A">
              <w:rPr>
                <w:rStyle w:val="Hyperlink"/>
                <w:noProof/>
                <w:lang w:val="en-US"/>
              </w:rPr>
              <w:t>16.1. Publications related to the thesis</w:t>
            </w:r>
            <w:r>
              <w:rPr>
                <w:noProof/>
                <w:webHidden/>
              </w:rPr>
              <w:tab/>
            </w:r>
            <w:r>
              <w:rPr>
                <w:noProof/>
                <w:webHidden/>
              </w:rPr>
              <w:fldChar w:fldCharType="begin"/>
            </w:r>
            <w:r>
              <w:rPr>
                <w:noProof/>
                <w:webHidden/>
              </w:rPr>
              <w:instrText xml:space="preserve"> PAGEREF _Toc211542239 \h </w:instrText>
            </w:r>
            <w:r>
              <w:rPr>
                <w:noProof/>
                <w:webHidden/>
              </w:rPr>
            </w:r>
            <w:r>
              <w:rPr>
                <w:noProof/>
                <w:webHidden/>
              </w:rPr>
              <w:fldChar w:fldCharType="separate"/>
            </w:r>
            <w:r>
              <w:rPr>
                <w:noProof/>
                <w:webHidden/>
              </w:rPr>
              <w:t>73</w:t>
            </w:r>
            <w:r>
              <w:rPr>
                <w:noProof/>
                <w:webHidden/>
              </w:rPr>
              <w:fldChar w:fldCharType="end"/>
            </w:r>
          </w:hyperlink>
        </w:p>
        <w:p w14:paraId="6442D770" w14:textId="27BFE7CB" w:rsidR="006B43A3" w:rsidRDefault="006B43A3">
          <w:pPr>
            <w:pStyle w:val="TOC2"/>
            <w:tabs>
              <w:tab w:val="right" w:leader="dot" w:pos="8494"/>
            </w:tabs>
            <w:rPr>
              <w:rFonts w:asciiTheme="minorHAnsi" w:eastAsiaTheme="minorEastAsia" w:hAnsiTheme="minorHAnsi"/>
              <w:noProof/>
              <w:lang w:val="en-US"/>
            </w:rPr>
          </w:pPr>
          <w:hyperlink w:anchor="_Toc211542240" w:history="1">
            <w:r w:rsidRPr="00484C5A">
              <w:rPr>
                <w:rStyle w:val="Hyperlink"/>
                <w:noProof/>
                <w:lang w:val="en-US"/>
              </w:rPr>
              <w:t>16.2. Publications not related to the thesis</w:t>
            </w:r>
            <w:r>
              <w:rPr>
                <w:noProof/>
                <w:webHidden/>
              </w:rPr>
              <w:tab/>
            </w:r>
            <w:r>
              <w:rPr>
                <w:noProof/>
                <w:webHidden/>
              </w:rPr>
              <w:fldChar w:fldCharType="begin"/>
            </w:r>
            <w:r>
              <w:rPr>
                <w:noProof/>
                <w:webHidden/>
              </w:rPr>
              <w:instrText xml:space="preserve"> PAGEREF _Toc211542240 \h </w:instrText>
            </w:r>
            <w:r>
              <w:rPr>
                <w:noProof/>
                <w:webHidden/>
              </w:rPr>
            </w:r>
            <w:r>
              <w:rPr>
                <w:noProof/>
                <w:webHidden/>
              </w:rPr>
              <w:fldChar w:fldCharType="separate"/>
            </w:r>
            <w:r>
              <w:rPr>
                <w:noProof/>
                <w:webHidden/>
              </w:rPr>
              <w:t>73</w:t>
            </w:r>
            <w:r>
              <w:rPr>
                <w:noProof/>
                <w:webHidden/>
              </w:rPr>
              <w:fldChar w:fldCharType="end"/>
            </w:r>
          </w:hyperlink>
        </w:p>
        <w:p w14:paraId="734FBE6C" w14:textId="1F9EDB34" w:rsidR="006B43A3" w:rsidRDefault="006B43A3">
          <w:pPr>
            <w:pStyle w:val="TOC1"/>
            <w:tabs>
              <w:tab w:val="right" w:leader="dot" w:pos="8494"/>
            </w:tabs>
            <w:rPr>
              <w:rFonts w:asciiTheme="minorHAnsi" w:eastAsiaTheme="minorEastAsia" w:hAnsiTheme="minorHAnsi"/>
              <w:noProof/>
              <w:lang w:val="en-US"/>
            </w:rPr>
          </w:pPr>
          <w:hyperlink w:anchor="_Toc211542241" w:history="1">
            <w:r w:rsidRPr="00484C5A">
              <w:rPr>
                <w:rStyle w:val="Hyperlink"/>
                <w:noProof/>
                <w:lang w:val="en-US"/>
              </w:rPr>
              <w:t>17. ACKNOWLEDGEMENTS</w:t>
            </w:r>
            <w:r>
              <w:rPr>
                <w:noProof/>
                <w:webHidden/>
              </w:rPr>
              <w:tab/>
            </w:r>
            <w:r>
              <w:rPr>
                <w:noProof/>
                <w:webHidden/>
              </w:rPr>
              <w:fldChar w:fldCharType="begin"/>
            </w:r>
            <w:r>
              <w:rPr>
                <w:noProof/>
                <w:webHidden/>
              </w:rPr>
              <w:instrText xml:space="preserve"> PAGEREF _Toc211542241 \h </w:instrText>
            </w:r>
            <w:r>
              <w:rPr>
                <w:noProof/>
                <w:webHidden/>
              </w:rPr>
            </w:r>
            <w:r>
              <w:rPr>
                <w:noProof/>
                <w:webHidden/>
              </w:rPr>
              <w:fldChar w:fldCharType="separate"/>
            </w:r>
            <w:r>
              <w:rPr>
                <w:noProof/>
                <w:webHidden/>
              </w:rPr>
              <w:t>75</w:t>
            </w:r>
            <w:r>
              <w:rPr>
                <w:noProof/>
                <w:webHidden/>
              </w:rPr>
              <w:fldChar w:fldCharType="end"/>
            </w:r>
          </w:hyperlink>
        </w:p>
        <w:p w14:paraId="0DECD950" w14:textId="55493429" w:rsidR="005703D4" w:rsidRDefault="005703D4">
          <w:r>
            <w:rPr>
              <w:b/>
              <w:bCs/>
              <w:noProof/>
            </w:rPr>
            <w:fldChar w:fldCharType="end"/>
          </w:r>
        </w:p>
      </w:sdtContent>
    </w:sdt>
    <w:p w14:paraId="72E872A1" w14:textId="77777777" w:rsidR="006B6059" w:rsidRDefault="006B6059">
      <w:pPr>
        <w:spacing w:line="278" w:lineRule="auto"/>
        <w:jc w:val="left"/>
        <w:rPr>
          <w:rFonts w:eastAsiaTheme="majorEastAsia" w:cstheme="majorBidi"/>
          <w:b/>
          <w:szCs w:val="40"/>
          <w:lang w:val="en-US"/>
        </w:rPr>
      </w:pPr>
    </w:p>
    <w:p w14:paraId="40094CDE" w14:textId="77777777" w:rsidR="0000307C" w:rsidRDefault="0000307C">
      <w:pPr>
        <w:spacing w:line="278" w:lineRule="auto"/>
        <w:jc w:val="left"/>
        <w:rPr>
          <w:rFonts w:eastAsiaTheme="majorEastAsia" w:cstheme="majorBidi"/>
          <w:b/>
          <w:szCs w:val="40"/>
          <w:lang w:val="en-US"/>
        </w:rPr>
      </w:pPr>
    </w:p>
    <w:p w14:paraId="60501831" w14:textId="77777777" w:rsidR="006B6059" w:rsidRDefault="006B6059">
      <w:pPr>
        <w:spacing w:line="278" w:lineRule="auto"/>
        <w:jc w:val="left"/>
        <w:rPr>
          <w:rFonts w:eastAsiaTheme="majorEastAsia" w:cstheme="majorBidi"/>
          <w:b/>
          <w:szCs w:val="40"/>
          <w:lang w:val="en-US"/>
        </w:rPr>
        <w:sectPr w:rsidR="006B6059" w:rsidSect="00787E54">
          <w:footerReference w:type="default" r:id="rId10"/>
          <w:pgSz w:w="11906" w:h="16838"/>
          <w:pgMar w:top="1701" w:right="1701" w:bottom="1701" w:left="1701" w:header="709" w:footer="709" w:gutter="0"/>
          <w:pgNumType w:start="1"/>
          <w:cols w:space="708"/>
          <w:titlePg/>
          <w:docGrid w:linePitch="360"/>
        </w:sectPr>
      </w:pPr>
    </w:p>
    <w:p w14:paraId="659983AA" w14:textId="732B23C8" w:rsidR="00B41FBB" w:rsidRPr="00DB58BF" w:rsidRDefault="00B41FBB" w:rsidP="0036711F">
      <w:pPr>
        <w:pStyle w:val="Heading1"/>
        <w:rPr>
          <w:szCs w:val="24"/>
          <w:lang w:val="en-US"/>
        </w:rPr>
      </w:pPr>
      <w:bookmarkStart w:id="1" w:name="_Toc211542180"/>
      <w:r w:rsidRPr="00DB58BF">
        <w:rPr>
          <w:szCs w:val="24"/>
          <w:lang w:val="en-US"/>
        </w:rPr>
        <w:lastRenderedPageBreak/>
        <w:t xml:space="preserve">1. </w:t>
      </w:r>
      <w:r w:rsidRPr="00DB58BF">
        <w:rPr>
          <w:caps/>
          <w:szCs w:val="24"/>
          <w:lang w:val="en-US"/>
        </w:rPr>
        <w:t>LIST</w:t>
      </w:r>
      <w:r w:rsidRPr="00DB58BF">
        <w:rPr>
          <w:szCs w:val="24"/>
          <w:lang w:val="en-US"/>
        </w:rPr>
        <w:t xml:space="preserve"> OF ABBREVIATIONS</w:t>
      </w:r>
      <w:bookmarkEnd w:id="1"/>
      <w:r w:rsidRPr="00DB58BF">
        <w:rPr>
          <w:szCs w:val="24"/>
          <w:lang w:val="en-US"/>
        </w:rPr>
        <w:t xml:space="preserve"> </w:t>
      </w:r>
    </w:p>
    <w:p w14:paraId="368F7FBF" w14:textId="77777777" w:rsidR="00850D7E" w:rsidRPr="00DB58BF" w:rsidRDefault="00850D7E" w:rsidP="00D620A7">
      <w:pPr>
        <w:tabs>
          <w:tab w:val="left" w:pos="1560"/>
        </w:tabs>
        <w:ind w:left="1560" w:hanging="1560"/>
        <w:rPr>
          <w:rFonts w:eastAsia="Times New Roman" w:cs="Times New Roman"/>
          <w:kern w:val="0"/>
          <w:lang w:val="en-US" w:eastAsia="hu-HU"/>
          <w14:ligatures w14:val="none"/>
        </w:rPr>
      </w:pPr>
      <w:r w:rsidRPr="00DB58BF">
        <w:rPr>
          <w:rFonts w:eastAsia="Times New Roman" w:cs="Times New Roman"/>
          <w:b/>
          <w:bCs/>
          <w:kern w:val="0"/>
          <w:lang w:val="en-US" w:eastAsia="hu-HU"/>
          <w14:ligatures w14:val="none"/>
        </w:rPr>
        <w:t>ARDS</w:t>
      </w:r>
      <w:r w:rsidRPr="00DB58BF">
        <w:rPr>
          <w:rFonts w:eastAsia="Times New Roman" w:cs="Times New Roman"/>
          <w:b/>
          <w:bCs/>
          <w:kern w:val="0"/>
          <w:lang w:val="en-US" w:eastAsia="hu-HU"/>
          <w14:ligatures w14:val="none"/>
        </w:rPr>
        <w:tab/>
      </w:r>
      <w:r w:rsidRPr="00DB58BF">
        <w:rPr>
          <w:rFonts w:eastAsia="Times New Roman" w:cs="Times New Roman"/>
          <w:kern w:val="0"/>
          <w:lang w:val="en-US" w:eastAsia="hu-HU"/>
          <w14:ligatures w14:val="none"/>
        </w:rPr>
        <w:t>acute respiratory distress syndrome</w:t>
      </w:r>
    </w:p>
    <w:p w14:paraId="3A248C7E" w14:textId="77777777" w:rsidR="00850D7E" w:rsidRPr="00DB58BF" w:rsidRDefault="00850D7E" w:rsidP="00D620A7">
      <w:pPr>
        <w:tabs>
          <w:tab w:val="left" w:pos="1560"/>
        </w:tabs>
        <w:ind w:left="1560" w:hanging="1560"/>
        <w:rPr>
          <w:rFonts w:eastAsia="Times New Roman" w:cs="Times New Roman"/>
          <w:kern w:val="0"/>
          <w:lang w:val="en-US" w:eastAsia="hu-HU"/>
          <w14:ligatures w14:val="none"/>
        </w:rPr>
      </w:pPr>
      <w:r w:rsidRPr="00DB58BF">
        <w:rPr>
          <w:rFonts w:eastAsia="Times New Roman" w:cs="Times New Roman"/>
          <w:b/>
          <w:bCs/>
          <w:kern w:val="0"/>
          <w:lang w:val="en-US" w:eastAsia="hu-HU"/>
          <w14:ligatures w14:val="none"/>
        </w:rPr>
        <w:t>ARMs</w:t>
      </w:r>
      <w:r w:rsidRPr="00DB58BF">
        <w:rPr>
          <w:rFonts w:eastAsia="Times New Roman" w:cs="Times New Roman"/>
          <w:b/>
          <w:bCs/>
          <w:kern w:val="0"/>
          <w:lang w:val="en-US" w:eastAsia="hu-HU"/>
          <w14:ligatures w14:val="none"/>
        </w:rPr>
        <w:tab/>
      </w:r>
      <w:r w:rsidRPr="00DB58BF">
        <w:rPr>
          <w:rFonts w:eastAsia="Times New Roman" w:cs="Times New Roman"/>
          <w:kern w:val="0"/>
          <w:lang w:val="en-US" w:eastAsia="hu-HU"/>
          <w14:ligatures w14:val="none"/>
        </w:rPr>
        <w:t>alveolar recruitment maneuvers</w:t>
      </w:r>
    </w:p>
    <w:p w14:paraId="272E89E7" w14:textId="77777777" w:rsidR="00850D7E" w:rsidRPr="00DB58BF" w:rsidRDefault="00850D7E" w:rsidP="00D620A7">
      <w:pPr>
        <w:tabs>
          <w:tab w:val="left" w:pos="1560"/>
        </w:tabs>
        <w:ind w:left="1560" w:hanging="1560"/>
        <w:rPr>
          <w:rFonts w:eastAsia="Times New Roman" w:cs="Times New Roman"/>
          <w:kern w:val="0"/>
          <w:lang w:val="en-US" w:eastAsia="hu-HU"/>
          <w14:ligatures w14:val="none"/>
        </w:rPr>
      </w:pPr>
      <w:r w:rsidRPr="00DB58BF">
        <w:rPr>
          <w:rFonts w:eastAsia="Times New Roman" w:cs="Times New Roman"/>
          <w:b/>
          <w:bCs/>
          <w:kern w:val="0"/>
          <w:lang w:val="en-US" w:eastAsia="hu-HU"/>
          <w14:ligatures w14:val="none"/>
        </w:rPr>
        <w:t>Cdyn</w:t>
      </w:r>
      <w:r w:rsidRPr="00DB58BF">
        <w:rPr>
          <w:rFonts w:eastAsia="Times New Roman" w:cs="Times New Roman"/>
          <w:b/>
          <w:bCs/>
          <w:kern w:val="0"/>
          <w:lang w:val="en-US" w:eastAsia="hu-HU"/>
          <w14:ligatures w14:val="none"/>
        </w:rPr>
        <w:tab/>
      </w:r>
      <w:r w:rsidRPr="00DB58BF">
        <w:rPr>
          <w:rFonts w:eastAsia="Times New Roman" w:cs="Times New Roman"/>
          <w:kern w:val="0"/>
          <w:lang w:val="en-US" w:eastAsia="hu-HU"/>
          <w14:ligatures w14:val="none"/>
        </w:rPr>
        <w:t>dynamic compliance</w:t>
      </w:r>
    </w:p>
    <w:p w14:paraId="3F6D2B60" w14:textId="77777777" w:rsidR="00850D7E" w:rsidRPr="00DB58BF" w:rsidRDefault="00850D7E" w:rsidP="00D620A7">
      <w:pPr>
        <w:tabs>
          <w:tab w:val="left" w:pos="1560"/>
        </w:tabs>
        <w:ind w:left="1560" w:hanging="1560"/>
        <w:rPr>
          <w:rFonts w:eastAsia="Times New Roman" w:cs="Times New Roman"/>
          <w:b/>
          <w:bCs/>
          <w:kern w:val="0"/>
          <w:lang w:val="en-US" w:eastAsia="hu-HU"/>
          <w14:ligatures w14:val="none"/>
        </w:rPr>
      </w:pPr>
      <w:r w:rsidRPr="00DB58BF">
        <w:rPr>
          <w:rFonts w:eastAsia="Times New Roman" w:cs="Times New Roman"/>
          <w:b/>
          <w:bCs/>
          <w:kern w:val="0"/>
          <w:lang w:val="en-US" w:eastAsia="hu-HU"/>
          <w14:ligatures w14:val="none"/>
        </w:rPr>
        <w:t>CG</w:t>
      </w:r>
      <w:r w:rsidRPr="00DB58BF">
        <w:rPr>
          <w:rFonts w:eastAsia="Times New Roman" w:cs="Times New Roman"/>
          <w:b/>
          <w:bCs/>
          <w:kern w:val="0"/>
          <w:lang w:val="en-US" w:eastAsia="hu-HU"/>
          <w14:ligatures w14:val="none"/>
        </w:rPr>
        <w:tab/>
      </w:r>
      <w:r w:rsidRPr="00DB58BF">
        <w:rPr>
          <w:rFonts w:eastAsia="Times New Roman" w:cs="Times New Roman"/>
          <w:kern w:val="0"/>
          <w:lang w:val="en-US" w:eastAsia="hu-HU"/>
          <w14:ligatures w14:val="none"/>
        </w:rPr>
        <w:t>control group</w:t>
      </w:r>
    </w:p>
    <w:p w14:paraId="5A25CE27" w14:textId="77777777" w:rsidR="00850D7E" w:rsidRPr="00DB58BF" w:rsidRDefault="00850D7E" w:rsidP="00D620A7">
      <w:pPr>
        <w:tabs>
          <w:tab w:val="left" w:pos="1560"/>
        </w:tabs>
        <w:ind w:left="1560" w:hanging="1560"/>
        <w:rPr>
          <w:rFonts w:eastAsia="Times New Roman" w:cs="Times New Roman"/>
          <w:kern w:val="0"/>
          <w:lang w:val="en-US" w:eastAsia="hu-HU"/>
          <w14:ligatures w14:val="none"/>
        </w:rPr>
      </w:pPr>
      <w:r w:rsidRPr="00DB58BF">
        <w:rPr>
          <w:rFonts w:eastAsia="Times New Roman" w:cs="Times New Roman"/>
          <w:b/>
          <w:bCs/>
          <w:kern w:val="0"/>
          <w:lang w:val="en-US" w:eastAsia="hu-HU"/>
          <w14:ligatures w14:val="none"/>
        </w:rPr>
        <w:t>CI</w:t>
      </w:r>
      <w:r w:rsidRPr="00DB58BF">
        <w:rPr>
          <w:rFonts w:eastAsia="Times New Roman" w:cs="Times New Roman"/>
          <w:b/>
          <w:bCs/>
          <w:kern w:val="0"/>
          <w:lang w:val="en-US" w:eastAsia="hu-HU"/>
          <w14:ligatures w14:val="none"/>
        </w:rPr>
        <w:tab/>
      </w:r>
      <w:r w:rsidRPr="00DB58BF">
        <w:rPr>
          <w:rFonts w:eastAsia="Times New Roman" w:cs="Times New Roman"/>
          <w:kern w:val="0"/>
          <w:lang w:val="en-US" w:eastAsia="hu-HU"/>
          <w14:ligatures w14:val="none"/>
        </w:rPr>
        <w:t>confidence interval</w:t>
      </w:r>
    </w:p>
    <w:p w14:paraId="7762848F" w14:textId="77777777" w:rsidR="00850D7E" w:rsidRPr="00DB58BF" w:rsidRDefault="00850D7E" w:rsidP="00D620A7">
      <w:pPr>
        <w:tabs>
          <w:tab w:val="left" w:pos="1560"/>
        </w:tabs>
        <w:ind w:left="1560" w:hanging="1560"/>
        <w:rPr>
          <w:rFonts w:eastAsia="Times New Roman" w:cs="Times New Roman"/>
          <w:kern w:val="0"/>
          <w:lang w:val="en-US" w:eastAsia="hu-HU"/>
          <w14:ligatures w14:val="none"/>
        </w:rPr>
      </w:pPr>
      <w:r w:rsidRPr="00DB58BF">
        <w:rPr>
          <w:rFonts w:eastAsia="Times New Roman" w:cs="Times New Roman"/>
          <w:b/>
          <w:bCs/>
          <w:kern w:val="0"/>
          <w:lang w:val="en-US" w:eastAsia="hu-HU"/>
          <w14:ligatures w14:val="none"/>
        </w:rPr>
        <w:t>CRP</w:t>
      </w:r>
      <w:r w:rsidRPr="00DB58BF">
        <w:rPr>
          <w:rFonts w:eastAsia="Times New Roman" w:cs="Times New Roman"/>
          <w:b/>
          <w:bCs/>
          <w:kern w:val="0"/>
          <w:lang w:val="en-US" w:eastAsia="hu-HU"/>
          <w14:ligatures w14:val="none"/>
        </w:rPr>
        <w:tab/>
      </w:r>
      <w:r w:rsidRPr="00DB58BF">
        <w:rPr>
          <w:rFonts w:eastAsia="Times New Roman" w:cs="Times New Roman"/>
          <w:kern w:val="0"/>
          <w:lang w:val="en-US" w:eastAsia="hu-HU"/>
          <w14:ligatures w14:val="none"/>
        </w:rPr>
        <w:t>C-reactive protein</w:t>
      </w:r>
    </w:p>
    <w:p w14:paraId="19844C5A" w14:textId="77777777" w:rsidR="00850D7E" w:rsidRPr="00DB58BF" w:rsidRDefault="00850D7E" w:rsidP="00D620A7">
      <w:pPr>
        <w:tabs>
          <w:tab w:val="left" w:pos="1560"/>
        </w:tabs>
        <w:ind w:left="1560" w:hanging="1560"/>
        <w:rPr>
          <w:rFonts w:eastAsia="Times New Roman" w:cs="Times New Roman"/>
          <w:kern w:val="0"/>
          <w:lang w:val="en-US" w:eastAsia="hu-HU"/>
          <w14:ligatures w14:val="none"/>
        </w:rPr>
      </w:pPr>
      <w:r w:rsidRPr="00DB58BF">
        <w:rPr>
          <w:rFonts w:eastAsia="Times New Roman" w:cs="Times New Roman"/>
          <w:b/>
          <w:bCs/>
          <w:kern w:val="0"/>
          <w:lang w:val="en-US" w:eastAsia="hu-HU"/>
          <w14:ligatures w14:val="none"/>
        </w:rPr>
        <w:t>Cstat</w:t>
      </w:r>
      <w:r w:rsidRPr="00DB58BF">
        <w:rPr>
          <w:rFonts w:eastAsia="Times New Roman" w:cs="Times New Roman"/>
          <w:b/>
          <w:bCs/>
          <w:kern w:val="0"/>
          <w:lang w:val="en-US" w:eastAsia="hu-HU"/>
          <w14:ligatures w14:val="none"/>
        </w:rPr>
        <w:tab/>
      </w:r>
      <w:r w:rsidRPr="00DB58BF">
        <w:rPr>
          <w:rFonts w:eastAsia="Times New Roman" w:cs="Times New Roman"/>
          <w:kern w:val="0"/>
          <w:lang w:val="en-US" w:eastAsia="hu-HU"/>
          <w14:ligatures w14:val="none"/>
        </w:rPr>
        <w:t>static compliance</w:t>
      </w:r>
    </w:p>
    <w:p w14:paraId="0371C97A" w14:textId="77777777" w:rsidR="00850D7E" w:rsidRPr="00DB58BF" w:rsidRDefault="00850D7E" w:rsidP="00787E54">
      <w:pPr>
        <w:tabs>
          <w:tab w:val="left" w:pos="1560"/>
          <w:tab w:val="left" w:pos="2143"/>
        </w:tabs>
        <w:ind w:left="1560" w:hanging="1560"/>
        <w:rPr>
          <w:rFonts w:eastAsia="Times New Roman" w:cs="Times New Roman"/>
          <w:b/>
          <w:bCs/>
          <w:kern w:val="0"/>
          <w:lang w:val="en-US" w:eastAsia="hu-HU"/>
          <w14:ligatures w14:val="none"/>
        </w:rPr>
      </w:pPr>
      <w:r w:rsidRPr="00DB58BF">
        <w:rPr>
          <w:rFonts w:eastAsia="Times New Roman" w:cs="Times New Roman"/>
          <w:b/>
          <w:bCs/>
          <w:kern w:val="0"/>
          <w:lang w:val="en-US" w:eastAsia="hu-HU"/>
          <w14:ligatures w14:val="none"/>
        </w:rPr>
        <w:t>CT</w:t>
      </w:r>
      <w:r w:rsidRPr="00DB58BF">
        <w:rPr>
          <w:rFonts w:eastAsia="Times New Roman" w:cs="Times New Roman"/>
          <w:b/>
          <w:bCs/>
          <w:kern w:val="0"/>
          <w:lang w:val="en-US" w:eastAsia="hu-HU"/>
          <w14:ligatures w14:val="none"/>
        </w:rPr>
        <w:tab/>
      </w:r>
      <w:r w:rsidRPr="00DB58BF">
        <w:rPr>
          <w:rFonts w:eastAsia="Times New Roman" w:cs="Times New Roman"/>
          <w:kern w:val="0"/>
          <w:lang w:val="en-US" w:eastAsia="hu-HU"/>
          <w14:ligatures w14:val="none"/>
        </w:rPr>
        <w:t>computed tomography</w:t>
      </w:r>
    </w:p>
    <w:p w14:paraId="3F4B0A50" w14:textId="77777777" w:rsidR="00850D7E" w:rsidRPr="00DB58BF" w:rsidRDefault="00850D7E" w:rsidP="00D620A7">
      <w:pPr>
        <w:tabs>
          <w:tab w:val="left" w:pos="1560"/>
        </w:tabs>
        <w:ind w:left="1560" w:hanging="1560"/>
        <w:rPr>
          <w:rFonts w:eastAsia="Times New Roman" w:cs="Times New Roman"/>
          <w:kern w:val="0"/>
          <w:lang w:val="en-US" w:eastAsia="hu-HU"/>
          <w14:ligatures w14:val="none"/>
        </w:rPr>
      </w:pPr>
      <w:proofErr w:type="spellStart"/>
      <w:r w:rsidRPr="00DB58BF">
        <w:rPr>
          <w:rFonts w:eastAsia="Times New Roman" w:cs="Times New Roman"/>
          <w:b/>
          <w:bCs/>
          <w:kern w:val="0"/>
          <w:lang w:val="en-US" w:eastAsia="hu-HU"/>
          <w14:ligatures w14:val="none"/>
        </w:rPr>
        <w:t>dP</w:t>
      </w:r>
      <w:proofErr w:type="spellEnd"/>
      <w:r w:rsidRPr="00DB58BF">
        <w:rPr>
          <w:rFonts w:eastAsia="Times New Roman" w:cs="Times New Roman"/>
          <w:b/>
          <w:bCs/>
          <w:kern w:val="0"/>
          <w:lang w:val="en-US" w:eastAsia="hu-HU"/>
          <w14:ligatures w14:val="none"/>
        </w:rPr>
        <w:tab/>
      </w:r>
      <w:r w:rsidRPr="00DB58BF">
        <w:rPr>
          <w:rFonts w:eastAsia="Times New Roman" w:cs="Times New Roman"/>
          <w:kern w:val="0"/>
          <w:lang w:val="en-US" w:eastAsia="hu-HU"/>
          <w14:ligatures w14:val="none"/>
        </w:rPr>
        <w:t>driving pressure</w:t>
      </w:r>
    </w:p>
    <w:p w14:paraId="3CD7735B" w14:textId="77777777" w:rsidR="00850D7E" w:rsidRPr="00DB58BF" w:rsidRDefault="00850D7E" w:rsidP="00D620A7">
      <w:pPr>
        <w:tabs>
          <w:tab w:val="left" w:pos="1560"/>
        </w:tabs>
        <w:ind w:left="1560" w:hanging="1560"/>
        <w:rPr>
          <w:rFonts w:eastAsia="Times New Roman" w:cs="Times New Roman"/>
          <w:kern w:val="0"/>
          <w:lang w:val="en-US" w:eastAsia="hu-HU"/>
          <w14:ligatures w14:val="none"/>
        </w:rPr>
      </w:pPr>
      <w:r w:rsidRPr="00DB58BF">
        <w:rPr>
          <w:rFonts w:eastAsia="Times New Roman" w:cs="Times New Roman"/>
          <w:b/>
          <w:bCs/>
          <w:kern w:val="0"/>
          <w:lang w:val="en-US" w:eastAsia="hu-HU"/>
          <w14:ligatures w14:val="none"/>
        </w:rPr>
        <w:t>ECMO</w:t>
      </w:r>
      <w:r w:rsidRPr="00DB58BF">
        <w:rPr>
          <w:rFonts w:eastAsia="Times New Roman" w:cs="Times New Roman"/>
          <w:b/>
          <w:bCs/>
          <w:kern w:val="0"/>
          <w:lang w:val="en-US" w:eastAsia="hu-HU"/>
          <w14:ligatures w14:val="none"/>
        </w:rPr>
        <w:tab/>
      </w:r>
      <w:r w:rsidRPr="00DB58BF">
        <w:rPr>
          <w:rFonts w:eastAsia="Times New Roman" w:cs="Times New Roman"/>
          <w:kern w:val="0"/>
          <w:lang w:val="en-US" w:eastAsia="hu-HU"/>
          <w14:ligatures w14:val="none"/>
        </w:rPr>
        <w:t>extracorporeal membrane oxygenation</w:t>
      </w:r>
    </w:p>
    <w:p w14:paraId="30715129" w14:textId="77777777" w:rsidR="00850D7E" w:rsidRPr="00DB58BF" w:rsidRDefault="00850D7E" w:rsidP="00D620A7">
      <w:pPr>
        <w:tabs>
          <w:tab w:val="left" w:pos="1560"/>
        </w:tabs>
        <w:ind w:left="1560" w:hanging="1560"/>
        <w:rPr>
          <w:rFonts w:eastAsia="Times New Roman" w:cs="Times New Roman"/>
          <w:kern w:val="0"/>
          <w:lang w:val="en-US" w:eastAsia="hu-HU"/>
          <w14:ligatures w14:val="none"/>
        </w:rPr>
      </w:pPr>
      <w:r w:rsidRPr="00DB58BF">
        <w:rPr>
          <w:rFonts w:eastAsia="Times New Roman" w:cs="Times New Roman"/>
          <w:b/>
          <w:bCs/>
          <w:kern w:val="0"/>
          <w:lang w:val="en-US" w:eastAsia="hu-HU"/>
          <w14:ligatures w14:val="none"/>
        </w:rPr>
        <w:t>EIT</w:t>
      </w:r>
      <w:r w:rsidRPr="00DB58BF">
        <w:rPr>
          <w:rFonts w:eastAsia="Times New Roman" w:cs="Times New Roman"/>
          <w:b/>
          <w:bCs/>
          <w:kern w:val="0"/>
          <w:lang w:val="en-US" w:eastAsia="hu-HU"/>
          <w14:ligatures w14:val="none"/>
        </w:rPr>
        <w:tab/>
      </w:r>
      <w:r w:rsidRPr="00DB58BF">
        <w:rPr>
          <w:rFonts w:eastAsia="Times New Roman" w:cs="Times New Roman"/>
          <w:kern w:val="0"/>
          <w:lang w:val="en-US" w:eastAsia="hu-HU"/>
          <w14:ligatures w14:val="none"/>
        </w:rPr>
        <w:t>electrical impedance tomography</w:t>
      </w:r>
    </w:p>
    <w:p w14:paraId="06436957" w14:textId="1D86E69A" w:rsidR="00850D7E" w:rsidRPr="00DB58BF" w:rsidRDefault="00850D7E" w:rsidP="00D620A7">
      <w:pPr>
        <w:tabs>
          <w:tab w:val="left" w:pos="1560"/>
        </w:tabs>
        <w:ind w:left="1560" w:hanging="1560"/>
        <w:rPr>
          <w:rFonts w:eastAsia="Times New Roman" w:cs="Times New Roman"/>
          <w:kern w:val="0"/>
          <w:lang w:val="en-US" w:eastAsia="hu-HU"/>
          <w14:ligatures w14:val="none"/>
        </w:rPr>
      </w:pPr>
      <w:r w:rsidRPr="00DB58BF">
        <w:rPr>
          <w:rFonts w:eastAsia="Times New Roman" w:cs="Times New Roman"/>
          <w:b/>
          <w:bCs/>
          <w:kern w:val="0"/>
          <w:lang w:val="en-US" w:eastAsia="hu-HU"/>
          <w14:ligatures w14:val="none"/>
        </w:rPr>
        <w:t>HA</w:t>
      </w:r>
      <w:r w:rsidRPr="00DB58BF">
        <w:rPr>
          <w:rFonts w:eastAsia="Times New Roman" w:cs="Times New Roman"/>
          <w:b/>
          <w:bCs/>
          <w:kern w:val="0"/>
          <w:lang w:val="en-US" w:eastAsia="hu-HU"/>
          <w14:ligatures w14:val="none"/>
        </w:rPr>
        <w:tab/>
      </w:r>
      <w:proofErr w:type="spellStart"/>
      <w:r w:rsidRPr="00DB58BF">
        <w:rPr>
          <w:rFonts w:eastAsia="Times New Roman" w:cs="Times New Roman"/>
          <w:kern w:val="0"/>
          <w:lang w:val="en-US" w:eastAsia="hu-HU"/>
          <w14:ligatures w14:val="none"/>
        </w:rPr>
        <w:t>hem</w:t>
      </w:r>
      <w:r w:rsidR="004A5249" w:rsidRPr="00DB58BF">
        <w:rPr>
          <w:rFonts w:eastAsia="Times New Roman" w:cs="Times New Roman"/>
          <w:kern w:val="0"/>
          <w:lang w:val="en-US" w:eastAsia="hu-HU"/>
          <w14:ligatures w14:val="none"/>
        </w:rPr>
        <w:t>o</w:t>
      </w:r>
      <w:r w:rsidRPr="00DB58BF">
        <w:rPr>
          <w:rFonts w:eastAsia="Times New Roman" w:cs="Times New Roman"/>
          <w:kern w:val="0"/>
          <w:lang w:val="en-US" w:eastAsia="hu-HU"/>
          <w14:ligatures w14:val="none"/>
        </w:rPr>
        <w:t>adsorption</w:t>
      </w:r>
      <w:proofErr w:type="spellEnd"/>
    </w:p>
    <w:p w14:paraId="632CE11B" w14:textId="77777777" w:rsidR="00850D7E" w:rsidRPr="00DB58BF" w:rsidRDefault="00850D7E" w:rsidP="00D620A7">
      <w:pPr>
        <w:tabs>
          <w:tab w:val="left" w:pos="1560"/>
        </w:tabs>
        <w:ind w:left="1560" w:hanging="1560"/>
        <w:rPr>
          <w:rFonts w:eastAsia="Times New Roman" w:cs="Times New Roman"/>
          <w:kern w:val="0"/>
          <w:lang w:val="en-US" w:eastAsia="hu-HU"/>
          <w14:ligatures w14:val="none"/>
        </w:rPr>
      </w:pPr>
      <w:r w:rsidRPr="00DB58BF">
        <w:rPr>
          <w:b/>
          <w:bCs/>
          <w:lang w:val="en-US"/>
        </w:rPr>
        <w:t>IBW</w:t>
      </w:r>
      <w:r w:rsidRPr="00DB58BF">
        <w:rPr>
          <w:b/>
          <w:bCs/>
          <w:lang w:val="en-US"/>
        </w:rPr>
        <w:tab/>
      </w:r>
      <w:proofErr w:type="gramStart"/>
      <w:r w:rsidRPr="00DB58BF">
        <w:rPr>
          <w:lang w:val="en-US"/>
        </w:rPr>
        <w:t>ideal</w:t>
      </w:r>
      <w:proofErr w:type="gramEnd"/>
      <w:r w:rsidRPr="00DB58BF">
        <w:rPr>
          <w:lang w:val="en-US"/>
        </w:rPr>
        <w:t xml:space="preserve"> </w:t>
      </w:r>
      <w:proofErr w:type="gramStart"/>
      <w:r w:rsidRPr="00DB58BF">
        <w:rPr>
          <w:lang w:val="en-US"/>
        </w:rPr>
        <w:t>body weight</w:t>
      </w:r>
      <w:proofErr w:type="gramEnd"/>
    </w:p>
    <w:p w14:paraId="4BC4B2FB" w14:textId="77777777" w:rsidR="00850D7E" w:rsidRPr="00DB58BF" w:rsidRDefault="00850D7E" w:rsidP="00D620A7">
      <w:pPr>
        <w:tabs>
          <w:tab w:val="left" w:pos="1560"/>
        </w:tabs>
        <w:ind w:left="1560" w:hanging="1560"/>
        <w:rPr>
          <w:rFonts w:eastAsia="Times New Roman" w:cs="Times New Roman"/>
          <w:kern w:val="0"/>
          <w:lang w:val="en-US" w:eastAsia="hu-HU"/>
          <w14:ligatures w14:val="none"/>
        </w:rPr>
      </w:pPr>
      <w:r w:rsidRPr="00DB58BF">
        <w:rPr>
          <w:rFonts w:eastAsia="Times New Roman" w:cs="Times New Roman"/>
          <w:b/>
          <w:bCs/>
          <w:kern w:val="0"/>
          <w:lang w:val="en-US" w:eastAsia="hu-HU"/>
          <w14:ligatures w14:val="none"/>
        </w:rPr>
        <w:t>ICU</w:t>
      </w:r>
      <w:r w:rsidRPr="00DB58BF">
        <w:rPr>
          <w:rFonts w:eastAsia="Times New Roman" w:cs="Times New Roman"/>
          <w:b/>
          <w:bCs/>
          <w:kern w:val="0"/>
          <w:lang w:val="en-US" w:eastAsia="hu-HU"/>
          <w14:ligatures w14:val="none"/>
        </w:rPr>
        <w:tab/>
      </w:r>
      <w:r w:rsidRPr="00DB58BF">
        <w:rPr>
          <w:rFonts w:eastAsia="Times New Roman" w:cs="Times New Roman"/>
          <w:kern w:val="0"/>
          <w:lang w:val="en-US" w:eastAsia="hu-HU"/>
          <w14:ligatures w14:val="none"/>
        </w:rPr>
        <w:t>intensive care unit</w:t>
      </w:r>
    </w:p>
    <w:p w14:paraId="54132FC8" w14:textId="77777777" w:rsidR="00850D7E" w:rsidRPr="00DB58BF" w:rsidRDefault="00850D7E" w:rsidP="00D620A7">
      <w:pPr>
        <w:tabs>
          <w:tab w:val="left" w:pos="1560"/>
        </w:tabs>
        <w:ind w:left="1560" w:hanging="1560"/>
        <w:rPr>
          <w:rFonts w:eastAsia="Times New Roman" w:cs="Times New Roman"/>
          <w:kern w:val="0"/>
          <w:lang w:val="en-US" w:eastAsia="hu-HU"/>
          <w14:ligatures w14:val="none"/>
        </w:rPr>
      </w:pPr>
      <w:r w:rsidRPr="00DB58BF">
        <w:rPr>
          <w:rFonts w:eastAsia="Times New Roman" w:cs="Times New Roman"/>
          <w:b/>
          <w:bCs/>
          <w:kern w:val="0"/>
          <w:lang w:val="en-US" w:eastAsia="hu-HU"/>
          <w14:ligatures w14:val="none"/>
        </w:rPr>
        <w:t>IL-6</w:t>
      </w:r>
      <w:r w:rsidRPr="00DB58BF">
        <w:rPr>
          <w:rFonts w:eastAsia="Times New Roman" w:cs="Times New Roman"/>
          <w:b/>
          <w:bCs/>
          <w:kern w:val="0"/>
          <w:lang w:val="en-US" w:eastAsia="hu-HU"/>
          <w14:ligatures w14:val="none"/>
        </w:rPr>
        <w:tab/>
      </w:r>
      <w:r w:rsidRPr="00DB58BF">
        <w:rPr>
          <w:rFonts w:eastAsia="Times New Roman" w:cs="Times New Roman"/>
          <w:kern w:val="0"/>
          <w:lang w:val="en-US" w:eastAsia="hu-HU"/>
          <w14:ligatures w14:val="none"/>
        </w:rPr>
        <w:t>interleukin 6</w:t>
      </w:r>
    </w:p>
    <w:p w14:paraId="7F1CFB5F" w14:textId="77777777" w:rsidR="00850D7E" w:rsidRPr="00DB58BF" w:rsidRDefault="00850D7E" w:rsidP="00D620A7">
      <w:pPr>
        <w:tabs>
          <w:tab w:val="left" w:pos="1560"/>
        </w:tabs>
        <w:ind w:left="1560" w:hanging="1560"/>
        <w:rPr>
          <w:rFonts w:eastAsia="Times New Roman" w:cs="Times New Roman"/>
          <w:b/>
          <w:bCs/>
          <w:kern w:val="0"/>
          <w:lang w:val="en-US" w:eastAsia="hu-HU"/>
          <w14:ligatures w14:val="none"/>
        </w:rPr>
      </w:pPr>
      <w:r w:rsidRPr="00DB58BF">
        <w:rPr>
          <w:rFonts w:eastAsia="Times New Roman" w:cs="Times New Roman"/>
          <w:b/>
          <w:bCs/>
          <w:kern w:val="0"/>
          <w:lang w:val="en-US" w:eastAsia="hu-HU"/>
          <w14:ligatures w14:val="none"/>
        </w:rPr>
        <w:t>IL-8</w:t>
      </w:r>
      <w:r w:rsidRPr="00DB58BF">
        <w:rPr>
          <w:rFonts w:eastAsia="Times New Roman" w:cs="Times New Roman"/>
          <w:b/>
          <w:bCs/>
          <w:kern w:val="0"/>
          <w:lang w:val="en-US" w:eastAsia="hu-HU"/>
          <w14:ligatures w14:val="none"/>
        </w:rPr>
        <w:tab/>
      </w:r>
      <w:r w:rsidRPr="00DB58BF">
        <w:rPr>
          <w:rFonts w:eastAsia="Times New Roman" w:cs="Times New Roman"/>
          <w:kern w:val="0"/>
          <w:lang w:val="en-US" w:eastAsia="hu-HU"/>
          <w14:ligatures w14:val="none"/>
        </w:rPr>
        <w:t>interleukin 8</w:t>
      </w:r>
    </w:p>
    <w:p w14:paraId="15E4650C" w14:textId="77777777" w:rsidR="00850D7E" w:rsidRPr="00DB58BF" w:rsidRDefault="00850D7E" w:rsidP="00D620A7">
      <w:pPr>
        <w:tabs>
          <w:tab w:val="left" w:pos="1560"/>
        </w:tabs>
        <w:ind w:left="1560" w:hanging="1560"/>
        <w:rPr>
          <w:rFonts w:eastAsia="Times New Roman" w:cs="Times New Roman"/>
          <w:kern w:val="0"/>
          <w:lang w:val="en-US" w:eastAsia="hu-HU"/>
          <w14:ligatures w14:val="none"/>
        </w:rPr>
      </w:pPr>
      <w:proofErr w:type="gramStart"/>
      <w:r w:rsidRPr="00DB58BF">
        <w:rPr>
          <w:rFonts w:eastAsia="Times New Roman" w:cs="Times New Roman"/>
          <w:b/>
          <w:bCs/>
          <w:kern w:val="0"/>
          <w:lang w:val="en-US" w:eastAsia="hu-HU"/>
          <w14:ligatures w14:val="none"/>
        </w:rPr>
        <w:t>LOS</w:t>
      </w:r>
      <w:proofErr w:type="gramEnd"/>
      <w:r w:rsidRPr="00DB58BF">
        <w:rPr>
          <w:rFonts w:eastAsia="Times New Roman" w:cs="Times New Roman"/>
          <w:b/>
          <w:bCs/>
          <w:kern w:val="0"/>
          <w:lang w:val="en-US" w:eastAsia="hu-HU"/>
          <w14:ligatures w14:val="none"/>
        </w:rPr>
        <w:tab/>
      </w:r>
      <w:r w:rsidRPr="00DB58BF">
        <w:rPr>
          <w:rFonts w:eastAsia="Times New Roman" w:cs="Times New Roman"/>
          <w:kern w:val="0"/>
          <w:lang w:val="en-US" w:eastAsia="hu-HU"/>
          <w14:ligatures w14:val="none"/>
        </w:rPr>
        <w:t>length of stay</w:t>
      </w:r>
    </w:p>
    <w:p w14:paraId="476B1361" w14:textId="4ED56884" w:rsidR="008D2BBA" w:rsidRPr="00DB58BF" w:rsidRDefault="008D2BBA" w:rsidP="00D620A7">
      <w:pPr>
        <w:tabs>
          <w:tab w:val="left" w:pos="1560"/>
        </w:tabs>
        <w:ind w:left="1560" w:hanging="1560"/>
        <w:rPr>
          <w:rFonts w:eastAsia="Times New Roman" w:cs="Times New Roman"/>
          <w:kern w:val="0"/>
          <w:lang w:val="en-US" w:eastAsia="hu-HU"/>
          <w14:ligatures w14:val="none"/>
        </w:rPr>
      </w:pPr>
      <w:r w:rsidRPr="00DB58BF">
        <w:rPr>
          <w:rFonts w:eastAsia="Times New Roman" w:cs="Times New Roman"/>
          <w:b/>
          <w:bCs/>
          <w:kern w:val="0"/>
          <w:lang w:val="en-US" w:eastAsia="hu-HU"/>
          <w14:ligatures w14:val="none"/>
        </w:rPr>
        <w:t>MD</w:t>
      </w:r>
      <w:r w:rsidRPr="00DB58BF">
        <w:rPr>
          <w:rFonts w:eastAsia="Times New Roman" w:cs="Times New Roman"/>
          <w:b/>
          <w:bCs/>
          <w:kern w:val="0"/>
          <w:lang w:val="en-US" w:eastAsia="hu-HU"/>
          <w14:ligatures w14:val="none"/>
        </w:rPr>
        <w:tab/>
      </w:r>
      <w:r w:rsidRPr="00DB58BF">
        <w:rPr>
          <w:rFonts w:eastAsia="Times New Roman" w:cs="Times New Roman"/>
          <w:kern w:val="0"/>
          <w:lang w:val="en-US" w:eastAsia="hu-HU"/>
          <w14:ligatures w14:val="none"/>
        </w:rPr>
        <w:t>mean difference</w:t>
      </w:r>
    </w:p>
    <w:p w14:paraId="760548CF" w14:textId="77777777" w:rsidR="00850D7E" w:rsidRPr="00DB58BF" w:rsidRDefault="00850D7E" w:rsidP="00D620A7">
      <w:pPr>
        <w:tabs>
          <w:tab w:val="left" w:pos="1560"/>
        </w:tabs>
        <w:ind w:left="1560" w:hanging="1560"/>
        <w:rPr>
          <w:rFonts w:eastAsia="Times New Roman" w:cs="Times New Roman"/>
          <w:b/>
          <w:bCs/>
          <w:kern w:val="0"/>
          <w:lang w:val="en-US" w:eastAsia="hu-HU"/>
          <w14:ligatures w14:val="none"/>
        </w:rPr>
      </w:pPr>
      <w:r w:rsidRPr="00DB58BF">
        <w:rPr>
          <w:rFonts w:eastAsia="Times New Roman" w:cs="Times New Roman"/>
          <w:b/>
          <w:bCs/>
          <w:kern w:val="0"/>
          <w:lang w:val="en-US" w:eastAsia="hu-HU"/>
          <w14:ligatures w14:val="none"/>
        </w:rPr>
        <w:t>NE</w:t>
      </w:r>
      <w:r w:rsidRPr="00DB58BF">
        <w:rPr>
          <w:rFonts w:eastAsia="Times New Roman" w:cs="Times New Roman"/>
          <w:b/>
          <w:bCs/>
          <w:kern w:val="0"/>
          <w:lang w:val="en-US" w:eastAsia="hu-HU"/>
          <w14:ligatures w14:val="none"/>
        </w:rPr>
        <w:tab/>
      </w:r>
      <w:r w:rsidRPr="00DB58BF">
        <w:rPr>
          <w:rFonts w:eastAsia="Times New Roman" w:cs="Times New Roman"/>
          <w:kern w:val="0"/>
          <w:lang w:val="en-US" w:eastAsia="hu-HU"/>
          <w14:ligatures w14:val="none"/>
        </w:rPr>
        <w:t>norepinephrine</w:t>
      </w:r>
    </w:p>
    <w:p w14:paraId="43C72A08" w14:textId="77777777" w:rsidR="00850D7E" w:rsidRPr="00DB58BF" w:rsidRDefault="00850D7E" w:rsidP="00D620A7">
      <w:pPr>
        <w:tabs>
          <w:tab w:val="left" w:pos="1560"/>
        </w:tabs>
        <w:ind w:left="1560" w:hanging="1560"/>
        <w:rPr>
          <w:rFonts w:eastAsia="Times New Roman" w:cs="Times New Roman"/>
          <w:kern w:val="0"/>
          <w:lang w:val="en-US" w:eastAsia="hu-HU"/>
          <w14:ligatures w14:val="none"/>
        </w:rPr>
      </w:pPr>
      <w:r w:rsidRPr="00DB58BF">
        <w:rPr>
          <w:rFonts w:eastAsia="Times New Roman" w:cs="Times New Roman"/>
          <w:b/>
          <w:bCs/>
          <w:kern w:val="0"/>
          <w:lang w:val="en-US" w:eastAsia="hu-HU"/>
          <w14:ligatures w14:val="none"/>
        </w:rPr>
        <w:t>OR</w:t>
      </w:r>
      <w:r w:rsidRPr="00DB58BF">
        <w:rPr>
          <w:rFonts w:eastAsia="Times New Roman" w:cs="Times New Roman"/>
          <w:b/>
          <w:bCs/>
          <w:kern w:val="0"/>
          <w:lang w:val="en-US" w:eastAsia="hu-HU"/>
          <w14:ligatures w14:val="none"/>
        </w:rPr>
        <w:tab/>
      </w:r>
      <w:r w:rsidRPr="00DB58BF">
        <w:rPr>
          <w:rFonts w:eastAsia="Times New Roman" w:cs="Times New Roman"/>
          <w:kern w:val="0"/>
          <w:lang w:val="en-US" w:eastAsia="hu-HU"/>
          <w14:ligatures w14:val="none"/>
        </w:rPr>
        <w:t>odds ratio</w:t>
      </w:r>
    </w:p>
    <w:p w14:paraId="4AA4400F" w14:textId="77777777" w:rsidR="00850D7E" w:rsidRPr="00DB58BF" w:rsidRDefault="00850D7E" w:rsidP="00D620A7">
      <w:pPr>
        <w:tabs>
          <w:tab w:val="left" w:pos="1560"/>
        </w:tabs>
        <w:ind w:left="1560" w:hanging="1560"/>
        <w:rPr>
          <w:rFonts w:eastAsia="Times New Roman" w:cs="Times New Roman"/>
          <w:b/>
          <w:bCs/>
          <w:kern w:val="0"/>
          <w:lang w:val="en-US" w:eastAsia="hu-HU"/>
          <w14:ligatures w14:val="none"/>
        </w:rPr>
      </w:pPr>
      <w:r w:rsidRPr="00DB58BF">
        <w:rPr>
          <w:rFonts w:eastAsia="Times New Roman" w:cs="Times New Roman"/>
          <w:b/>
          <w:bCs/>
          <w:kern w:val="0"/>
          <w:lang w:val="en-US" w:eastAsia="hu-HU"/>
          <w14:ligatures w14:val="none"/>
        </w:rPr>
        <w:t>PCT</w:t>
      </w:r>
      <w:r w:rsidRPr="00DB58BF">
        <w:rPr>
          <w:rFonts w:eastAsia="Times New Roman" w:cs="Times New Roman"/>
          <w:b/>
          <w:bCs/>
          <w:kern w:val="0"/>
          <w:lang w:val="en-US" w:eastAsia="hu-HU"/>
          <w14:ligatures w14:val="none"/>
        </w:rPr>
        <w:tab/>
      </w:r>
      <w:r w:rsidRPr="00DB58BF">
        <w:rPr>
          <w:rFonts w:eastAsia="Times New Roman" w:cs="Times New Roman"/>
          <w:kern w:val="0"/>
          <w:lang w:val="en-US" w:eastAsia="hu-HU"/>
          <w14:ligatures w14:val="none"/>
        </w:rPr>
        <w:t>procalcitonin</w:t>
      </w:r>
    </w:p>
    <w:p w14:paraId="1A3A6069" w14:textId="48277C4C" w:rsidR="00850D7E" w:rsidRPr="00DB58BF" w:rsidRDefault="00850D7E" w:rsidP="00D620A7">
      <w:pPr>
        <w:tabs>
          <w:tab w:val="left" w:pos="1560"/>
        </w:tabs>
        <w:ind w:left="1560" w:hanging="1560"/>
        <w:rPr>
          <w:rFonts w:eastAsia="Times New Roman" w:cs="Times New Roman"/>
          <w:kern w:val="0"/>
          <w:lang w:val="en-US" w:eastAsia="hu-HU"/>
          <w14:ligatures w14:val="none"/>
        </w:rPr>
      </w:pPr>
      <w:r w:rsidRPr="00DB58BF">
        <w:rPr>
          <w:rFonts w:eastAsia="Times New Roman" w:cs="Times New Roman"/>
          <w:b/>
          <w:bCs/>
          <w:kern w:val="0"/>
          <w:lang w:val="en-US" w:eastAsia="hu-HU"/>
          <w14:ligatures w14:val="none"/>
        </w:rPr>
        <w:t>PEEP</w:t>
      </w:r>
      <w:r w:rsidRPr="00DB58BF">
        <w:rPr>
          <w:rFonts w:eastAsia="Times New Roman" w:cs="Times New Roman"/>
          <w:b/>
          <w:bCs/>
          <w:kern w:val="0"/>
          <w:lang w:val="en-US" w:eastAsia="hu-HU"/>
          <w14:ligatures w14:val="none"/>
        </w:rPr>
        <w:tab/>
      </w:r>
      <w:r w:rsidRPr="00DB58BF">
        <w:rPr>
          <w:rFonts w:eastAsia="Times New Roman" w:cs="Times New Roman"/>
          <w:kern w:val="0"/>
          <w:lang w:val="en-US" w:eastAsia="hu-HU"/>
          <w14:ligatures w14:val="none"/>
        </w:rPr>
        <w:t>positive end-expiratory pressure</w:t>
      </w:r>
    </w:p>
    <w:p w14:paraId="4C915145" w14:textId="77777777" w:rsidR="00850D7E" w:rsidRPr="00DB58BF" w:rsidRDefault="00850D7E" w:rsidP="009F406D">
      <w:pPr>
        <w:tabs>
          <w:tab w:val="left" w:pos="1560"/>
        </w:tabs>
        <w:ind w:left="1560" w:hanging="1560"/>
        <w:rPr>
          <w:rFonts w:eastAsia="Times New Roman" w:cs="Times New Roman"/>
          <w:kern w:val="0"/>
          <w:lang w:val="en-US" w:eastAsia="hu-HU"/>
          <w14:ligatures w14:val="none"/>
        </w:rPr>
      </w:pPr>
      <w:r w:rsidRPr="00DB58BF">
        <w:rPr>
          <w:rFonts w:eastAsia="Times New Roman" w:cs="Times New Roman"/>
          <w:b/>
          <w:bCs/>
          <w:kern w:val="0"/>
          <w:lang w:val="en-US" w:eastAsia="hu-HU"/>
          <w14:ligatures w14:val="none"/>
        </w:rPr>
        <w:lastRenderedPageBreak/>
        <w:t>Peso</w:t>
      </w:r>
      <w:r w:rsidRPr="00DB58BF">
        <w:rPr>
          <w:rFonts w:eastAsia="Times New Roman" w:cs="Times New Roman"/>
          <w:b/>
          <w:bCs/>
          <w:kern w:val="0"/>
          <w:lang w:val="en-US" w:eastAsia="hu-HU"/>
          <w14:ligatures w14:val="none"/>
        </w:rPr>
        <w:tab/>
      </w:r>
      <w:r w:rsidRPr="00DB58BF">
        <w:rPr>
          <w:rFonts w:eastAsia="Times New Roman" w:cs="Times New Roman"/>
          <w:kern w:val="0"/>
          <w:lang w:val="en-US" w:eastAsia="hu-HU"/>
          <w14:ligatures w14:val="none"/>
        </w:rPr>
        <w:t>esophageal pressure</w:t>
      </w:r>
    </w:p>
    <w:p w14:paraId="7DE79596" w14:textId="77777777" w:rsidR="00850D7E" w:rsidRPr="00DB58BF" w:rsidRDefault="00850D7E" w:rsidP="00D620A7">
      <w:pPr>
        <w:tabs>
          <w:tab w:val="left" w:pos="1560"/>
        </w:tabs>
        <w:ind w:left="1560" w:hanging="1560"/>
        <w:rPr>
          <w:rFonts w:eastAsia="Times New Roman" w:cs="Times New Roman"/>
          <w:kern w:val="0"/>
          <w:lang w:val="en-US" w:eastAsia="hu-HU"/>
          <w14:ligatures w14:val="none"/>
        </w:rPr>
      </w:pPr>
      <w:r w:rsidRPr="00DB58BF">
        <w:rPr>
          <w:rFonts w:eastAsia="Times New Roman" w:cs="Times New Roman"/>
          <w:b/>
          <w:bCs/>
          <w:kern w:val="0"/>
          <w:lang w:val="en-US" w:eastAsia="hu-HU"/>
          <w14:ligatures w14:val="none"/>
        </w:rPr>
        <w:t>PPC</w:t>
      </w:r>
      <w:r w:rsidRPr="00DB58BF">
        <w:rPr>
          <w:rFonts w:eastAsia="Times New Roman" w:cs="Times New Roman"/>
          <w:b/>
          <w:bCs/>
          <w:kern w:val="0"/>
          <w:lang w:val="en-US" w:eastAsia="hu-HU"/>
          <w14:ligatures w14:val="none"/>
        </w:rPr>
        <w:tab/>
      </w:r>
      <w:r w:rsidRPr="00DB58BF">
        <w:rPr>
          <w:rFonts w:eastAsia="Times New Roman" w:cs="Times New Roman"/>
          <w:kern w:val="0"/>
          <w:lang w:val="en-US" w:eastAsia="hu-HU"/>
          <w14:ligatures w14:val="none"/>
        </w:rPr>
        <w:t>postoperative pulmonary complication</w:t>
      </w:r>
    </w:p>
    <w:p w14:paraId="38628D4F" w14:textId="77777777" w:rsidR="00850D7E" w:rsidRPr="00DB58BF" w:rsidRDefault="00850D7E" w:rsidP="00D620A7">
      <w:pPr>
        <w:tabs>
          <w:tab w:val="left" w:pos="1560"/>
        </w:tabs>
        <w:ind w:left="1560" w:hanging="1560"/>
        <w:rPr>
          <w:rFonts w:eastAsia="Times New Roman" w:cs="Times New Roman"/>
          <w:kern w:val="0"/>
          <w:lang w:val="en-US" w:eastAsia="hu-HU"/>
          <w14:ligatures w14:val="none"/>
        </w:rPr>
      </w:pPr>
      <w:proofErr w:type="spellStart"/>
      <w:r w:rsidRPr="00DB58BF">
        <w:rPr>
          <w:rFonts w:eastAsia="Times New Roman" w:cs="Times New Roman"/>
          <w:b/>
          <w:bCs/>
          <w:kern w:val="0"/>
          <w:lang w:val="en-US" w:eastAsia="hu-HU"/>
          <w14:ligatures w14:val="none"/>
        </w:rPr>
        <w:t>Pplat</w:t>
      </w:r>
      <w:proofErr w:type="spellEnd"/>
      <w:r w:rsidRPr="00DB58BF">
        <w:rPr>
          <w:rFonts w:eastAsia="Times New Roman" w:cs="Times New Roman"/>
          <w:b/>
          <w:bCs/>
          <w:kern w:val="0"/>
          <w:lang w:val="en-US" w:eastAsia="hu-HU"/>
          <w14:ligatures w14:val="none"/>
        </w:rPr>
        <w:tab/>
      </w:r>
      <w:r w:rsidRPr="00DB58BF">
        <w:rPr>
          <w:rFonts w:eastAsia="Times New Roman" w:cs="Times New Roman"/>
          <w:kern w:val="0"/>
          <w:lang w:val="en-US" w:eastAsia="hu-HU"/>
          <w14:ligatures w14:val="none"/>
        </w:rPr>
        <w:t>plateau pressure</w:t>
      </w:r>
    </w:p>
    <w:p w14:paraId="37D3E63E" w14:textId="77777777" w:rsidR="00850D7E" w:rsidRPr="00DB58BF" w:rsidRDefault="00850D7E" w:rsidP="00D620A7">
      <w:pPr>
        <w:tabs>
          <w:tab w:val="left" w:pos="1560"/>
        </w:tabs>
        <w:ind w:left="1560" w:hanging="1560"/>
        <w:rPr>
          <w:rFonts w:eastAsia="Times New Roman" w:cs="Times New Roman"/>
          <w:kern w:val="0"/>
          <w:lang w:val="en-US" w:eastAsia="hu-HU"/>
          <w14:ligatures w14:val="none"/>
        </w:rPr>
      </w:pPr>
      <w:proofErr w:type="spellStart"/>
      <w:r w:rsidRPr="00DB58BF">
        <w:rPr>
          <w:rFonts w:eastAsia="Times New Roman" w:cs="Times New Roman"/>
          <w:b/>
          <w:bCs/>
          <w:kern w:val="0"/>
          <w:lang w:val="en-US" w:eastAsia="hu-HU"/>
          <w14:ligatures w14:val="none"/>
        </w:rPr>
        <w:t>Ptp</w:t>
      </w:r>
      <w:proofErr w:type="spellEnd"/>
      <w:r w:rsidRPr="00DB58BF">
        <w:rPr>
          <w:rFonts w:eastAsia="Times New Roman" w:cs="Times New Roman"/>
          <w:b/>
          <w:bCs/>
          <w:kern w:val="0"/>
          <w:lang w:val="en-US" w:eastAsia="hu-HU"/>
          <w14:ligatures w14:val="none"/>
        </w:rPr>
        <w:tab/>
      </w:r>
      <w:r w:rsidRPr="00DB58BF">
        <w:rPr>
          <w:rFonts w:eastAsia="Times New Roman" w:cs="Times New Roman"/>
          <w:kern w:val="0"/>
          <w:lang w:val="en-US" w:eastAsia="hu-HU"/>
          <w14:ligatures w14:val="none"/>
        </w:rPr>
        <w:t>transpulmonary pressure</w:t>
      </w:r>
    </w:p>
    <w:p w14:paraId="5734AA7E" w14:textId="77777777" w:rsidR="00850D7E" w:rsidRPr="00DB58BF" w:rsidRDefault="00850D7E" w:rsidP="00D620A7">
      <w:pPr>
        <w:tabs>
          <w:tab w:val="left" w:pos="1560"/>
        </w:tabs>
        <w:ind w:left="1560" w:hanging="1560"/>
        <w:rPr>
          <w:rFonts w:eastAsia="Times New Roman" w:cs="Times New Roman"/>
          <w:kern w:val="0"/>
          <w:lang w:val="en-US" w:eastAsia="hu-HU"/>
          <w14:ligatures w14:val="none"/>
        </w:rPr>
      </w:pPr>
      <w:r w:rsidRPr="00DB58BF">
        <w:rPr>
          <w:rFonts w:eastAsia="Times New Roman" w:cs="Times New Roman"/>
          <w:b/>
          <w:bCs/>
          <w:kern w:val="0"/>
          <w:lang w:val="en-US" w:eastAsia="hu-HU"/>
          <w14:ligatures w14:val="none"/>
        </w:rPr>
        <w:t>RCT</w:t>
      </w:r>
      <w:r w:rsidRPr="00DB58BF">
        <w:rPr>
          <w:rFonts w:eastAsia="Times New Roman" w:cs="Times New Roman"/>
          <w:b/>
          <w:bCs/>
          <w:kern w:val="0"/>
          <w:lang w:val="en-US" w:eastAsia="hu-HU"/>
          <w14:ligatures w14:val="none"/>
        </w:rPr>
        <w:tab/>
      </w:r>
      <w:r w:rsidRPr="00DB58BF">
        <w:rPr>
          <w:rFonts w:eastAsia="Times New Roman" w:cs="Times New Roman"/>
          <w:kern w:val="0"/>
          <w:lang w:val="en-US" w:eastAsia="hu-HU"/>
          <w14:ligatures w14:val="none"/>
        </w:rPr>
        <w:t>randomized controlled trial</w:t>
      </w:r>
    </w:p>
    <w:p w14:paraId="1A7D990A" w14:textId="77777777" w:rsidR="00850D7E" w:rsidRPr="00DB58BF" w:rsidRDefault="00850D7E" w:rsidP="00D620A7">
      <w:pPr>
        <w:tabs>
          <w:tab w:val="left" w:pos="1560"/>
        </w:tabs>
        <w:ind w:left="1560" w:hanging="1560"/>
        <w:rPr>
          <w:rFonts w:eastAsia="Times New Roman" w:cs="Times New Roman"/>
          <w:kern w:val="0"/>
          <w:lang w:val="en-US" w:eastAsia="hu-HU"/>
          <w14:ligatures w14:val="none"/>
        </w:rPr>
      </w:pPr>
      <w:r w:rsidRPr="00DB58BF">
        <w:rPr>
          <w:rFonts w:eastAsia="Times New Roman" w:cs="Times New Roman"/>
          <w:b/>
          <w:bCs/>
          <w:kern w:val="0"/>
          <w:lang w:val="en-US" w:eastAsia="hu-HU"/>
          <w14:ligatures w14:val="none"/>
        </w:rPr>
        <w:t>RR</w:t>
      </w:r>
      <w:r w:rsidRPr="00DB58BF">
        <w:rPr>
          <w:rFonts w:eastAsia="Times New Roman" w:cs="Times New Roman"/>
          <w:b/>
          <w:bCs/>
          <w:kern w:val="0"/>
          <w:lang w:val="en-US" w:eastAsia="hu-HU"/>
          <w14:ligatures w14:val="none"/>
        </w:rPr>
        <w:tab/>
      </w:r>
      <w:r w:rsidRPr="00DB58BF">
        <w:rPr>
          <w:rFonts w:eastAsia="Times New Roman" w:cs="Times New Roman"/>
          <w:kern w:val="0"/>
          <w:lang w:val="en-US" w:eastAsia="hu-HU"/>
          <w14:ligatures w14:val="none"/>
        </w:rPr>
        <w:t>risk ratio</w:t>
      </w:r>
    </w:p>
    <w:p w14:paraId="5F64D25F" w14:textId="77777777" w:rsidR="00850D7E" w:rsidRPr="00DB58BF" w:rsidRDefault="00850D7E" w:rsidP="00D620A7">
      <w:pPr>
        <w:tabs>
          <w:tab w:val="left" w:pos="1560"/>
        </w:tabs>
        <w:ind w:left="1560" w:hanging="1560"/>
        <w:rPr>
          <w:rFonts w:eastAsia="Times New Roman" w:cs="Times New Roman"/>
          <w:kern w:val="0"/>
          <w:lang w:val="en-US" w:eastAsia="hu-HU"/>
          <w14:ligatures w14:val="none"/>
        </w:rPr>
      </w:pPr>
      <w:r w:rsidRPr="00DB58BF">
        <w:rPr>
          <w:rFonts w:eastAsia="Times New Roman" w:cs="Times New Roman"/>
          <w:b/>
          <w:bCs/>
          <w:kern w:val="0"/>
          <w:lang w:val="en-US" w:eastAsia="hu-HU"/>
          <w14:ligatures w14:val="none"/>
        </w:rPr>
        <w:t>SD</w:t>
      </w:r>
      <w:r w:rsidRPr="00DB58BF">
        <w:rPr>
          <w:rFonts w:eastAsia="Times New Roman" w:cs="Times New Roman"/>
          <w:b/>
          <w:bCs/>
          <w:kern w:val="0"/>
          <w:lang w:val="en-US" w:eastAsia="hu-HU"/>
          <w14:ligatures w14:val="none"/>
        </w:rPr>
        <w:tab/>
      </w:r>
      <w:r w:rsidRPr="00DB58BF">
        <w:rPr>
          <w:rFonts w:eastAsia="Times New Roman" w:cs="Times New Roman"/>
          <w:kern w:val="0"/>
          <w:lang w:val="en-US" w:eastAsia="hu-HU"/>
          <w14:ligatures w14:val="none"/>
        </w:rPr>
        <w:t>standard deviation</w:t>
      </w:r>
    </w:p>
    <w:p w14:paraId="39E77A20" w14:textId="77777777" w:rsidR="00850D7E" w:rsidRPr="00DB58BF" w:rsidRDefault="00850D7E" w:rsidP="00F20877">
      <w:pPr>
        <w:tabs>
          <w:tab w:val="left" w:pos="1560"/>
        </w:tabs>
        <w:ind w:left="1560" w:hanging="1560"/>
        <w:rPr>
          <w:rFonts w:eastAsia="Times New Roman" w:cs="Times New Roman"/>
          <w:kern w:val="0"/>
          <w:lang w:val="en-US" w:eastAsia="hu-HU"/>
          <w14:ligatures w14:val="none"/>
        </w:rPr>
      </w:pPr>
      <w:r w:rsidRPr="00DB58BF">
        <w:rPr>
          <w:rFonts w:eastAsia="Times New Roman" w:cs="Times New Roman"/>
          <w:b/>
          <w:bCs/>
          <w:kern w:val="0"/>
          <w:lang w:val="en-US" w:eastAsia="hu-HU"/>
          <w14:ligatures w14:val="none"/>
        </w:rPr>
        <w:t>Se Lac</w:t>
      </w:r>
      <w:r w:rsidRPr="00DB58BF">
        <w:rPr>
          <w:rFonts w:eastAsia="Times New Roman" w:cs="Times New Roman"/>
          <w:b/>
          <w:bCs/>
          <w:kern w:val="0"/>
          <w:lang w:val="en-US" w:eastAsia="hu-HU"/>
          <w14:ligatures w14:val="none"/>
        </w:rPr>
        <w:tab/>
      </w:r>
      <w:r w:rsidRPr="00DB58BF">
        <w:rPr>
          <w:rFonts w:eastAsia="Times New Roman" w:cs="Times New Roman"/>
          <w:kern w:val="0"/>
          <w:lang w:val="en-US" w:eastAsia="hu-HU"/>
          <w14:ligatures w14:val="none"/>
        </w:rPr>
        <w:t>serum lactate level</w:t>
      </w:r>
    </w:p>
    <w:p w14:paraId="004501E2" w14:textId="77777777" w:rsidR="00850D7E" w:rsidRPr="00DB58BF" w:rsidRDefault="00850D7E" w:rsidP="00D620A7">
      <w:pPr>
        <w:tabs>
          <w:tab w:val="left" w:pos="1560"/>
        </w:tabs>
        <w:ind w:left="1560" w:hanging="1560"/>
        <w:rPr>
          <w:rFonts w:eastAsia="Times New Roman" w:cs="Times New Roman"/>
          <w:kern w:val="0"/>
          <w:lang w:val="en-US" w:eastAsia="hu-HU"/>
          <w14:ligatures w14:val="none"/>
        </w:rPr>
      </w:pPr>
      <w:r w:rsidRPr="00DB58BF">
        <w:rPr>
          <w:rFonts w:eastAsia="Times New Roman" w:cs="Times New Roman"/>
          <w:b/>
          <w:bCs/>
          <w:kern w:val="0"/>
          <w:lang w:val="en-US" w:eastAsia="hu-HU"/>
          <w14:ligatures w14:val="none"/>
        </w:rPr>
        <w:t>SG</w:t>
      </w:r>
      <w:r w:rsidRPr="00DB58BF">
        <w:rPr>
          <w:rFonts w:eastAsia="Times New Roman" w:cs="Times New Roman"/>
          <w:b/>
          <w:bCs/>
          <w:kern w:val="0"/>
          <w:lang w:val="en-US" w:eastAsia="hu-HU"/>
          <w14:ligatures w14:val="none"/>
        </w:rPr>
        <w:tab/>
      </w:r>
      <w:r w:rsidRPr="00DB58BF">
        <w:rPr>
          <w:rFonts w:eastAsia="Times New Roman" w:cs="Times New Roman"/>
          <w:kern w:val="0"/>
          <w:lang w:val="en-US" w:eastAsia="hu-HU"/>
          <w14:ligatures w14:val="none"/>
        </w:rPr>
        <w:t>study group</w:t>
      </w:r>
    </w:p>
    <w:p w14:paraId="7265EFEC" w14:textId="77777777" w:rsidR="00850D7E" w:rsidRPr="00DB58BF" w:rsidRDefault="00850D7E" w:rsidP="00D620A7">
      <w:pPr>
        <w:tabs>
          <w:tab w:val="left" w:pos="1560"/>
        </w:tabs>
        <w:ind w:left="1560" w:hanging="1560"/>
        <w:rPr>
          <w:rFonts w:eastAsia="Times New Roman" w:cs="Times New Roman"/>
          <w:b/>
          <w:bCs/>
          <w:kern w:val="0"/>
          <w:lang w:val="en-US" w:eastAsia="hu-HU"/>
          <w14:ligatures w14:val="none"/>
        </w:rPr>
      </w:pPr>
      <w:r w:rsidRPr="00DB58BF">
        <w:rPr>
          <w:rFonts w:eastAsia="Times New Roman" w:cs="Times New Roman"/>
          <w:b/>
          <w:bCs/>
          <w:kern w:val="0"/>
          <w:lang w:val="en-US" w:eastAsia="hu-HU"/>
          <w14:ligatures w14:val="none"/>
        </w:rPr>
        <w:t>TNF-α</w:t>
      </w:r>
      <w:r w:rsidRPr="00DB58BF">
        <w:rPr>
          <w:rFonts w:eastAsia="Times New Roman" w:cs="Times New Roman"/>
          <w:b/>
          <w:bCs/>
          <w:kern w:val="0"/>
          <w:lang w:val="en-US" w:eastAsia="hu-HU"/>
          <w14:ligatures w14:val="none"/>
        </w:rPr>
        <w:tab/>
      </w:r>
      <w:r w:rsidRPr="00DB58BF">
        <w:rPr>
          <w:rFonts w:eastAsia="Times New Roman" w:cs="Times New Roman"/>
          <w:kern w:val="0"/>
          <w:lang w:val="en-US" w:eastAsia="hu-HU"/>
          <w14:ligatures w14:val="none"/>
        </w:rPr>
        <w:t>tumor necrosis factor alfa</w:t>
      </w:r>
    </w:p>
    <w:p w14:paraId="4BB2331C" w14:textId="77777777" w:rsidR="00850D7E" w:rsidRPr="00DB58BF" w:rsidRDefault="00850D7E" w:rsidP="00D620A7">
      <w:pPr>
        <w:tabs>
          <w:tab w:val="left" w:pos="1560"/>
        </w:tabs>
        <w:ind w:left="1560" w:hanging="1560"/>
        <w:rPr>
          <w:rFonts w:eastAsia="Times New Roman" w:cs="Times New Roman"/>
          <w:kern w:val="0"/>
          <w:lang w:val="en-US" w:eastAsia="hu-HU"/>
          <w14:ligatures w14:val="none"/>
        </w:rPr>
      </w:pPr>
      <w:r w:rsidRPr="00DB58BF">
        <w:rPr>
          <w:rFonts w:eastAsia="Times New Roman" w:cs="Times New Roman"/>
          <w:b/>
          <w:bCs/>
          <w:kern w:val="0"/>
          <w:lang w:val="en-US" w:eastAsia="hu-HU"/>
          <w14:ligatures w14:val="none"/>
        </w:rPr>
        <w:t>US</w:t>
      </w:r>
      <w:r w:rsidRPr="00DB58BF">
        <w:rPr>
          <w:rFonts w:eastAsia="Times New Roman" w:cs="Times New Roman"/>
          <w:b/>
          <w:bCs/>
          <w:kern w:val="0"/>
          <w:lang w:val="en-US" w:eastAsia="hu-HU"/>
          <w14:ligatures w14:val="none"/>
        </w:rPr>
        <w:tab/>
      </w:r>
      <w:r w:rsidRPr="00DB58BF">
        <w:rPr>
          <w:rFonts w:eastAsia="Times New Roman" w:cs="Times New Roman"/>
          <w:kern w:val="0"/>
          <w:lang w:val="en-US" w:eastAsia="hu-HU"/>
          <w14:ligatures w14:val="none"/>
        </w:rPr>
        <w:t>ultrasound</w:t>
      </w:r>
    </w:p>
    <w:p w14:paraId="0E5FA380" w14:textId="77777777" w:rsidR="00850D7E" w:rsidRPr="00DB58BF" w:rsidRDefault="00850D7E" w:rsidP="00D620A7">
      <w:pPr>
        <w:tabs>
          <w:tab w:val="left" w:pos="1560"/>
        </w:tabs>
        <w:ind w:left="1560" w:hanging="1560"/>
        <w:rPr>
          <w:rFonts w:eastAsia="Times New Roman" w:cs="Times New Roman"/>
          <w:kern w:val="0"/>
          <w:lang w:val="en-US" w:eastAsia="hu-HU"/>
          <w14:ligatures w14:val="none"/>
        </w:rPr>
      </w:pPr>
      <w:r w:rsidRPr="00DB58BF">
        <w:rPr>
          <w:rFonts w:eastAsia="Times New Roman" w:cs="Times New Roman"/>
          <w:b/>
          <w:bCs/>
          <w:kern w:val="0"/>
          <w:lang w:val="en-US" w:eastAsia="hu-HU"/>
          <w14:ligatures w14:val="none"/>
        </w:rPr>
        <w:t>VT</w:t>
      </w:r>
      <w:r w:rsidRPr="00DB58BF">
        <w:rPr>
          <w:rFonts w:eastAsia="Times New Roman" w:cs="Times New Roman"/>
          <w:b/>
          <w:bCs/>
          <w:kern w:val="0"/>
          <w:lang w:val="en-US" w:eastAsia="hu-HU"/>
          <w14:ligatures w14:val="none"/>
        </w:rPr>
        <w:tab/>
      </w:r>
      <w:r w:rsidRPr="00DB58BF">
        <w:rPr>
          <w:rFonts w:eastAsia="Times New Roman" w:cs="Times New Roman"/>
          <w:kern w:val="0"/>
          <w:lang w:val="en-US" w:eastAsia="hu-HU"/>
          <w14:ligatures w14:val="none"/>
        </w:rPr>
        <w:t>tidal volume</w:t>
      </w:r>
    </w:p>
    <w:p w14:paraId="06100F50" w14:textId="77777777" w:rsidR="00850D7E" w:rsidRPr="00DB58BF" w:rsidRDefault="00850D7E" w:rsidP="00D620A7">
      <w:pPr>
        <w:tabs>
          <w:tab w:val="left" w:pos="1560"/>
        </w:tabs>
        <w:ind w:left="1560" w:hanging="1560"/>
        <w:rPr>
          <w:rFonts w:eastAsia="Times New Roman" w:cs="Times New Roman"/>
          <w:kern w:val="0"/>
          <w:lang w:val="en-US" w:eastAsia="hu-HU"/>
          <w14:ligatures w14:val="none"/>
        </w:rPr>
      </w:pPr>
      <w:r w:rsidRPr="00DB58BF">
        <w:rPr>
          <w:rFonts w:eastAsia="Times New Roman" w:cs="Times New Roman"/>
          <w:b/>
          <w:bCs/>
          <w:kern w:val="0"/>
          <w:lang w:val="en-US" w:eastAsia="hu-HU"/>
          <w14:ligatures w14:val="none"/>
        </w:rPr>
        <w:t>ZEEP</w:t>
      </w:r>
      <w:r w:rsidRPr="00DB58BF">
        <w:rPr>
          <w:rFonts w:eastAsia="Times New Roman" w:cs="Times New Roman"/>
          <w:b/>
          <w:bCs/>
          <w:kern w:val="0"/>
          <w:lang w:val="en-US" w:eastAsia="hu-HU"/>
          <w14:ligatures w14:val="none"/>
        </w:rPr>
        <w:tab/>
      </w:r>
      <w:r w:rsidRPr="00DB58BF">
        <w:rPr>
          <w:rFonts w:eastAsia="Times New Roman" w:cs="Times New Roman"/>
          <w:kern w:val="0"/>
          <w:lang w:val="en-US" w:eastAsia="hu-HU"/>
          <w14:ligatures w14:val="none"/>
        </w:rPr>
        <w:t>zero end-expiratory pressure</w:t>
      </w:r>
    </w:p>
    <w:p w14:paraId="1C7943DB" w14:textId="1067C359" w:rsidR="007E0B27" w:rsidRPr="00DB58BF" w:rsidRDefault="007E0B27" w:rsidP="0036711F">
      <w:pPr>
        <w:rPr>
          <w:lang w:val="en-US"/>
        </w:rPr>
      </w:pPr>
    </w:p>
    <w:p w14:paraId="672FEBFE" w14:textId="02B7C0F2" w:rsidR="009D62C6" w:rsidRPr="00DB58BF" w:rsidRDefault="009D62C6" w:rsidP="0036711F">
      <w:pPr>
        <w:rPr>
          <w:rFonts w:eastAsiaTheme="majorEastAsia" w:cstheme="majorBidi"/>
          <w:b/>
          <w:lang w:val="en-US"/>
        </w:rPr>
      </w:pPr>
      <w:r w:rsidRPr="00DB58BF">
        <w:rPr>
          <w:lang w:val="en-US"/>
        </w:rPr>
        <w:br w:type="page"/>
      </w:r>
    </w:p>
    <w:p w14:paraId="05D68540" w14:textId="1C9A515C" w:rsidR="00B41FBB" w:rsidRPr="00DB58BF" w:rsidRDefault="00B41FBB" w:rsidP="0036711F">
      <w:pPr>
        <w:pStyle w:val="Heading1"/>
        <w:rPr>
          <w:szCs w:val="24"/>
          <w:lang w:val="en-US"/>
        </w:rPr>
      </w:pPr>
      <w:bookmarkStart w:id="2" w:name="_Toc211542181"/>
      <w:r w:rsidRPr="00DB58BF">
        <w:rPr>
          <w:szCs w:val="24"/>
          <w:lang w:val="en-US"/>
        </w:rPr>
        <w:lastRenderedPageBreak/>
        <w:t>2. STUDENT PROFILE</w:t>
      </w:r>
      <w:bookmarkEnd w:id="2"/>
      <w:r w:rsidRPr="00DB58BF">
        <w:rPr>
          <w:szCs w:val="24"/>
          <w:lang w:val="en-US"/>
        </w:rPr>
        <w:t xml:space="preserve"> </w:t>
      </w:r>
    </w:p>
    <w:p w14:paraId="72B1B6AB" w14:textId="77777777" w:rsidR="00B41FBB" w:rsidRPr="00DB58BF" w:rsidRDefault="00B41FBB" w:rsidP="0036711F">
      <w:pPr>
        <w:pStyle w:val="Heading2"/>
        <w:rPr>
          <w:szCs w:val="24"/>
          <w:lang w:val="en-US"/>
        </w:rPr>
      </w:pPr>
      <w:bookmarkStart w:id="3" w:name="_Toc211542182"/>
      <w:r w:rsidRPr="00DB58BF">
        <w:rPr>
          <w:szCs w:val="24"/>
          <w:lang w:val="en-US"/>
        </w:rPr>
        <w:t>2.1. Vision and mission statement, specific goals</w:t>
      </w:r>
      <w:bookmarkEnd w:id="3"/>
      <w:r w:rsidRPr="00DB58BF">
        <w:rPr>
          <w:szCs w:val="24"/>
          <w:lang w:val="en-US"/>
        </w:rPr>
        <w:t xml:space="preserve"> </w:t>
      </w:r>
    </w:p>
    <w:p w14:paraId="1C61E5C6" w14:textId="77BDF94E" w:rsidR="009325E6" w:rsidRPr="00DB58BF" w:rsidRDefault="006A178F" w:rsidP="0036711F">
      <w:pPr>
        <w:rPr>
          <w:lang w:val="en-US"/>
        </w:rPr>
      </w:pPr>
      <w:r w:rsidRPr="00DB58BF">
        <w:rPr>
          <w:lang w:val="en-US"/>
        </w:rPr>
        <w:t xml:space="preserve">The objective of my </w:t>
      </w:r>
      <w:proofErr w:type="gramStart"/>
      <w:r w:rsidRPr="00DB58BF">
        <w:rPr>
          <w:lang w:val="en-US"/>
        </w:rPr>
        <w:t>PhD work</w:t>
      </w:r>
      <w:proofErr w:type="gramEnd"/>
      <w:r w:rsidRPr="00DB58BF">
        <w:rPr>
          <w:lang w:val="en-US"/>
        </w:rPr>
        <w:t xml:space="preserve"> was to deepen my knowledge in scientific methodology and expand understanding in advanced strategies during mechanical ventilation, a key aspect of my field of residency, anesthesiology and intensive therapy. To achieve </w:t>
      </w:r>
      <w:r w:rsidR="00E458C8" w:rsidRPr="00DB58BF">
        <w:rPr>
          <w:lang w:val="en-US"/>
        </w:rPr>
        <w:t>my goals, I have</w:t>
      </w:r>
      <w:r w:rsidRPr="00DB58BF">
        <w:rPr>
          <w:lang w:val="en-US"/>
        </w:rPr>
        <w:t xml:space="preserve"> conducted two systematic reviews and meta-analyses to summarize and evaluate the current evidence in the literature on two important topics.</w:t>
      </w:r>
    </w:p>
    <w:p w14:paraId="3F00C550" w14:textId="0C9A3F2D" w:rsidR="00B41FBB" w:rsidRPr="00DB58BF" w:rsidRDefault="00B41FBB" w:rsidP="0036711F">
      <w:pPr>
        <w:pStyle w:val="Heading2"/>
        <w:rPr>
          <w:color w:val="FF0000"/>
          <w:szCs w:val="24"/>
          <w:lang w:val="en-US"/>
        </w:rPr>
      </w:pPr>
      <w:bookmarkStart w:id="4" w:name="_Toc211542183"/>
      <w:r w:rsidRPr="00DB58BF">
        <w:rPr>
          <w:szCs w:val="24"/>
          <w:lang w:val="en-US"/>
        </w:rPr>
        <w:t xml:space="preserve">2.2. </w:t>
      </w:r>
      <w:proofErr w:type="spellStart"/>
      <w:r w:rsidRPr="00DB58BF">
        <w:rPr>
          <w:szCs w:val="24"/>
          <w:lang w:val="en-US"/>
        </w:rPr>
        <w:t>Scientometrics</w:t>
      </w:r>
      <w:bookmarkEnd w:id="4"/>
      <w:proofErr w:type="spellEnd"/>
    </w:p>
    <w:tbl>
      <w:tblPr>
        <w:tblStyle w:val="PlainTable2"/>
        <w:tblW w:w="0" w:type="auto"/>
        <w:tblLook w:val="04A0" w:firstRow="1" w:lastRow="0" w:firstColumn="1" w:lastColumn="0" w:noHBand="0" w:noVBand="1"/>
      </w:tblPr>
      <w:tblGrid>
        <w:gridCol w:w="6096"/>
        <w:gridCol w:w="2398"/>
      </w:tblGrid>
      <w:tr w:rsidR="00033C4D" w:rsidRPr="00DB58BF" w14:paraId="19C95251" w14:textId="77777777" w:rsidTr="002F5E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4B85AA2A" w14:textId="42EBF30D" w:rsidR="00033C4D" w:rsidRPr="00DB58BF" w:rsidRDefault="00652F22" w:rsidP="00D16CB6">
            <w:pPr>
              <w:rPr>
                <w:sz w:val="24"/>
                <w:szCs w:val="24"/>
              </w:rPr>
            </w:pPr>
            <w:r w:rsidRPr="00DB58BF">
              <w:rPr>
                <w:sz w:val="24"/>
                <w:szCs w:val="24"/>
              </w:rPr>
              <w:t>Number of all publications</w:t>
            </w:r>
          </w:p>
        </w:tc>
        <w:tc>
          <w:tcPr>
            <w:tcW w:w="2398" w:type="dxa"/>
          </w:tcPr>
          <w:p w14:paraId="61DDEC91" w14:textId="369FE149" w:rsidR="00033C4D" w:rsidRPr="00DB58BF" w:rsidRDefault="00450FC0" w:rsidP="00D16CB6">
            <w:pPr>
              <w:cnfStyle w:val="100000000000" w:firstRow="1" w:lastRow="0" w:firstColumn="0" w:lastColumn="0" w:oddVBand="0" w:evenVBand="0" w:oddHBand="0" w:evenHBand="0" w:firstRowFirstColumn="0" w:firstRowLastColumn="0" w:lastRowFirstColumn="0" w:lastRowLastColumn="0"/>
              <w:rPr>
                <w:b w:val="0"/>
                <w:bCs w:val="0"/>
                <w:sz w:val="24"/>
                <w:szCs w:val="24"/>
              </w:rPr>
            </w:pPr>
            <w:r w:rsidRPr="00DB58BF">
              <w:rPr>
                <w:b w:val="0"/>
                <w:bCs w:val="0"/>
                <w:sz w:val="24"/>
                <w:szCs w:val="24"/>
              </w:rPr>
              <w:t>5</w:t>
            </w:r>
          </w:p>
        </w:tc>
      </w:tr>
      <w:tr w:rsidR="00033C4D" w:rsidRPr="00DB58BF" w14:paraId="79F6730B" w14:textId="77777777" w:rsidTr="002F5E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5B67A685" w14:textId="191E5289" w:rsidR="00033C4D" w:rsidRPr="00DB58BF" w:rsidRDefault="00AA3B58" w:rsidP="00D16CB6">
            <w:pPr>
              <w:rPr>
                <w:b w:val="0"/>
                <w:bCs w:val="0"/>
                <w:sz w:val="24"/>
                <w:szCs w:val="24"/>
              </w:rPr>
            </w:pPr>
            <w:r w:rsidRPr="00DB58BF">
              <w:rPr>
                <w:b w:val="0"/>
                <w:bCs w:val="0"/>
                <w:sz w:val="24"/>
                <w:szCs w:val="24"/>
              </w:rPr>
              <w:t xml:space="preserve"> </w:t>
            </w:r>
            <w:r w:rsidR="00D7640D" w:rsidRPr="00DB58BF">
              <w:rPr>
                <w:b w:val="0"/>
                <w:bCs w:val="0"/>
                <w:sz w:val="24"/>
                <w:szCs w:val="24"/>
              </w:rPr>
              <w:t xml:space="preserve"> </w:t>
            </w:r>
            <w:r w:rsidRPr="00DB58BF">
              <w:rPr>
                <w:b w:val="0"/>
                <w:bCs w:val="0"/>
                <w:sz w:val="24"/>
                <w:szCs w:val="24"/>
              </w:rPr>
              <w:t xml:space="preserve"> </w:t>
            </w:r>
            <w:r w:rsidR="00652F22" w:rsidRPr="00DB58BF">
              <w:rPr>
                <w:b w:val="0"/>
                <w:bCs w:val="0"/>
                <w:sz w:val="24"/>
                <w:szCs w:val="24"/>
              </w:rPr>
              <w:t>Cumulative IF</w:t>
            </w:r>
          </w:p>
        </w:tc>
        <w:tc>
          <w:tcPr>
            <w:tcW w:w="2398" w:type="dxa"/>
          </w:tcPr>
          <w:p w14:paraId="326C25E4" w14:textId="4C875346" w:rsidR="00033C4D" w:rsidRPr="00DB58BF" w:rsidRDefault="00AA3B58" w:rsidP="00D16CB6">
            <w:pPr>
              <w:cnfStyle w:val="000000100000" w:firstRow="0" w:lastRow="0" w:firstColumn="0" w:lastColumn="0" w:oddVBand="0" w:evenVBand="0" w:oddHBand="1" w:evenHBand="0" w:firstRowFirstColumn="0" w:firstRowLastColumn="0" w:lastRowFirstColumn="0" w:lastRowLastColumn="0"/>
              <w:rPr>
                <w:sz w:val="24"/>
                <w:szCs w:val="24"/>
              </w:rPr>
            </w:pPr>
            <w:r w:rsidRPr="00DB58BF">
              <w:rPr>
                <w:sz w:val="24"/>
                <w:szCs w:val="24"/>
              </w:rPr>
              <w:t xml:space="preserve"> </w:t>
            </w:r>
            <w:r w:rsidR="003A6BC7" w:rsidRPr="00DB58BF">
              <w:rPr>
                <w:sz w:val="24"/>
                <w:szCs w:val="24"/>
              </w:rPr>
              <w:t>19</w:t>
            </w:r>
            <w:r w:rsidR="00661539" w:rsidRPr="00DB58BF">
              <w:rPr>
                <w:sz w:val="24"/>
                <w:szCs w:val="24"/>
              </w:rPr>
              <w:t>.</w:t>
            </w:r>
            <w:r w:rsidR="003A6BC7" w:rsidRPr="00DB58BF">
              <w:rPr>
                <w:sz w:val="24"/>
                <w:szCs w:val="24"/>
              </w:rPr>
              <w:t>9</w:t>
            </w:r>
          </w:p>
        </w:tc>
      </w:tr>
      <w:tr w:rsidR="00033C4D" w:rsidRPr="00DB58BF" w14:paraId="507008CA" w14:textId="77777777" w:rsidTr="002F5E2E">
        <w:tc>
          <w:tcPr>
            <w:cnfStyle w:val="001000000000" w:firstRow="0" w:lastRow="0" w:firstColumn="1" w:lastColumn="0" w:oddVBand="0" w:evenVBand="0" w:oddHBand="0" w:evenHBand="0" w:firstRowFirstColumn="0" w:firstRowLastColumn="0" w:lastRowFirstColumn="0" w:lastRowLastColumn="0"/>
            <w:tcW w:w="6096" w:type="dxa"/>
          </w:tcPr>
          <w:p w14:paraId="7EA85751" w14:textId="244B3634" w:rsidR="00033C4D" w:rsidRPr="00DB58BF" w:rsidRDefault="00AA3B58" w:rsidP="00D16CB6">
            <w:pPr>
              <w:rPr>
                <w:b w:val="0"/>
                <w:bCs w:val="0"/>
                <w:sz w:val="24"/>
                <w:szCs w:val="24"/>
              </w:rPr>
            </w:pPr>
            <w:r w:rsidRPr="00DB58BF">
              <w:rPr>
                <w:b w:val="0"/>
                <w:bCs w:val="0"/>
                <w:sz w:val="24"/>
                <w:szCs w:val="24"/>
              </w:rPr>
              <w:t xml:space="preserve">  </w:t>
            </w:r>
            <w:r w:rsidR="00D7640D" w:rsidRPr="00DB58BF">
              <w:rPr>
                <w:b w:val="0"/>
                <w:bCs w:val="0"/>
                <w:sz w:val="24"/>
                <w:szCs w:val="24"/>
              </w:rPr>
              <w:t xml:space="preserve"> </w:t>
            </w:r>
            <w:proofErr w:type="spellStart"/>
            <w:r w:rsidR="00652F22" w:rsidRPr="00DB58BF">
              <w:rPr>
                <w:b w:val="0"/>
                <w:bCs w:val="0"/>
                <w:sz w:val="24"/>
                <w:szCs w:val="24"/>
              </w:rPr>
              <w:t>AvIF</w:t>
            </w:r>
            <w:proofErr w:type="spellEnd"/>
            <w:r w:rsidR="00652F22" w:rsidRPr="00DB58BF">
              <w:rPr>
                <w:b w:val="0"/>
                <w:bCs w:val="0"/>
                <w:sz w:val="24"/>
                <w:szCs w:val="24"/>
              </w:rPr>
              <w:t>/publication:</w:t>
            </w:r>
          </w:p>
        </w:tc>
        <w:tc>
          <w:tcPr>
            <w:tcW w:w="2398" w:type="dxa"/>
          </w:tcPr>
          <w:p w14:paraId="1B2AB50A" w14:textId="577B62E8" w:rsidR="00033C4D" w:rsidRPr="00DB58BF" w:rsidRDefault="003A6BC7" w:rsidP="00D16CB6">
            <w:pPr>
              <w:cnfStyle w:val="000000000000" w:firstRow="0" w:lastRow="0" w:firstColumn="0" w:lastColumn="0" w:oddVBand="0" w:evenVBand="0" w:oddHBand="0" w:evenHBand="0" w:firstRowFirstColumn="0" w:firstRowLastColumn="0" w:lastRowFirstColumn="0" w:lastRowLastColumn="0"/>
              <w:rPr>
                <w:sz w:val="24"/>
                <w:szCs w:val="24"/>
              </w:rPr>
            </w:pPr>
            <w:r w:rsidRPr="00DB58BF">
              <w:rPr>
                <w:sz w:val="24"/>
                <w:szCs w:val="24"/>
              </w:rPr>
              <w:t>3.98</w:t>
            </w:r>
          </w:p>
        </w:tc>
      </w:tr>
      <w:tr w:rsidR="00033C4D" w:rsidRPr="00DB58BF" w14:paraId="706D582F" w14:textId="77777777" w:rsidTr="002F5E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750E0426" w14:textId="405DE5D5" w:rsidR="00033C4D" w:rsidRPr="00DB58BF" w:rsidRDefault="00AA3B58" w:rsidP="00D16CB6">
            <w:pPr>
              <w:rPr>
                <w:b w:val="0"/>
                <w:bCs w:val="0"/>
                <w:sz w:val="24"/>
                <w:szCs w:val="24"/>
              </w:rPr>
            </w:pPr>
            <w:r w:rsidRPr="00DB58BF">
              <w:rPr>
                <w:b w:val="0"/>
                <w:bCs w:val="0"/>
                <w:sz w:val="24"/>
                <w:szCs w:val="24"/>
              </w:rPr>
              <w:t xml:space="preserve">  </w:t>
            </w:r>
            <w:r w:rsidR="00D7640D" w:rsidRPr="00DB58BF">
              <w:rPr>
                <w:b w:val="0"/>
                <w:bCs w:val="0"/>
                <w:sz w:val="24"/>
                <w:szCs w:val="24"/>
              </w:rPr>
              <w:t xml:space="preserve"> </w:t>
            </w:r>
            <w:r w:rsidR="00652F22" w:rsidRPr="00DB58BF">
              <w:rPr>
                <w:b w:val="0"/>
                <w:bCs w:val="0"/>
                <w:sz w:val="24"/>
                <w:szCs w:val="24"/>
              </w:rPr>
              <w:t>Ranking (</w:t>
            </w:r>
            <w:proofErr w:type="spellStart"/>
            <w:r w:rsidR="00652F22" w:rsidRPr="00DB58BF">
              <w:rPr>
                <w:b w:val="0"/>
                <w:bCs w:val="0"/>
                <w:sz w:val="24"/>
                <w:szCs w:val="24"/>
              </w:rPr>
              <w:t>SciMago</w:t>
            </w:r>
            <w:proofErr w:type="spellEnd"/>
            <w:r w:rsidR="00652F22" w:rsidRPr="00DB58BF">
              <w:rPr>
                <w:b w:val="0"/>
                <w:bCs w:val="0"/>
                <w:sz w:val="24"/>
                <w:szCs w:val="24"/>
              </w:rPr>
              <w:t>)</w:t>
            </w:r>
          </w:p>
        </w:tc>
        <w:tc>
          <w:tcPr>
            <w:tcW w:w="2398" w:type="dxa"/>
          </w:tcPr>
          <w:p w14:paraId="35C20CAF" w14:textId="01ED46B9" w:rsidR="00033C4D" w:rsidRPr="00DB58BF" w:rsidRDefault="002536CC" w:rsidP="00D16CB6">
            <w:pPr>
              <w:cnfStyle w:val="000000100000" w:firstRow="0" w:lastRow="0" w:firstColumn="0" w:lastColumn="0" w:oddVBand="0" w:evenVBand="0" w:oddHBand="1" w:evenHBand="0" w:firstRowFirstColumn="0" w:firstRowLastColumn="0" w:lastRowFirstColumn="0" w:lastRowLastColumn="0"/>
              <w:rPr>
                <w:sz w:val="24"/>
                <w:szCs w:val="24"/>
              </w:rPr>
            </w:pPr>
            <w:r w:rsidRPr="00DB58BF">
              <w:rPr>
                <w:sz w:val="24"/>
                <w:szCs w:val="24"/>
              </w:rPr>
              <w:t>D1: -</w:t>
            </w:r>
            <w:r w:rsidR="00AB514C" w:rsidRPr="00DB58BF">
              <w:rPr>
                <w:sz w:val="24"/>
                <w:szCs w:val="24"/>
              </w:rPr>
              <w:t xml:space="preserve">, Q1: </w:t>
            </w:r>
            <w:r w:rsidR="00A0591C" w:rsidRPr="00DB58BF">
              <w:rPr>
                <w:sz w:val="24"/>
                <w:szCs w:val="24"/>
              </w:rPr>
              <w:t>5</w:t>
            </w:r>
            <w:r w:rsidR="005E73D9" w:rsidRPr="00DB58BF">
              <w:rPr>
                <w:sz w:val="24"/>
                <w:szCs w:val="24"/>
              </w:rPr>
              <w:t>, Q2: -</w:t>
            </w:r>
          </w:p>
        </w:tc>
      </w:tr>
      <w:tr w:rsidR="00033C4D" w:rsidRPr="00DB58BF" w14:paraId="555019D0" w14:textId="77777777" w:rsidTr="002F5E2E">
        <w:tc>
          <w:tcPr>
            <w:cnfStyle w:val="001000000000" w:firstRow="0" w:lastRow="0" w:firstColumn="1" w:lastColumn="0" w:oddVBand="0" w:evenVBand="0" w:oddHBand="0" w:evenHBand="0" w:firstRowFirstColumn="0" w:firstRowLastColumn="0" w:lastRowFirstColumn="0" w:lastRowLastColumn="0"/>
            <w:tcW w:w="6096" w:type="dxa"/>
          </w:tcPr>
          <w:p w14:paraId="2DDCEF46" w14:textId="2F892E90" w:rsidR="00033C4D" w:rsidRPr="00DB58BF" w:rsidRDefault="00C5153F" w:rsidP="00D16CB6">
            <w:pPr>
              <w:rPr>
                <w:sz w:val="24"/>
                <w:szCs w:val="24"/>
              </w:rPr>
            </w:pPr>
            <w:r w:rsidRPr="00DB58BF">
              <w:rPr>
                <w:sz w:val="24"/>
                <w:szCs w:val="24"/>
              </w:rPr>
              <w:t>Number of publications related to the subject of the thesis</w:t>
            </w:r>
          </w:p>
        </w:tc>
        <w:tc>
          <w:tcPr>
            <w:tcW w:w="2398" w:type="dxa"/>
          </w:tcPr>
          <w:p w14:paraId="0FD40F00" w14:textId="2D8E4CAE" w:rsidR="00033C4D" w:rsidRPr="00DB58BF" w:rsidRDefault="00DE700B" w:rsidP="00D16CB6">
            <w:pPr>
              <w:cnfStyle w:val="000000000000" w:firstRow="0" w:lastRow="0" w:firstColumn="0" w:lastColumn="0" w:oddVBand="0" w:evenVBand="0" w:oddHBand="0" w:evenHBand="0" w:firstRowFirstColumn="0" w:firstRowLastColumn="0" w:lastRowFirstColumn="0" w:lastRowLastColumn="0"/>
              <w:rPr>
                <w:sz w:val="24"/>
                <w:szCs w:val="24"/>
              </w:rPr>
            </w:pPr>
            <w:r w:rsidRPr="00DB58BF">
              <w:rPr>
                <w:sz w:val="24"/>
                <w:szCs w:val="24"/>
              </w:rPr>
              <w:t>2</w:t>
            </w:r>
          </w:p>
        </w:tc>
      </w:tr>
      <w:tr w:rsidR="00033C4D" w:rsidRPr="00DB58BF" w14:paraId="5FFA59B7" w14:textId="77777777" w:rsidTr="002F5E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7CFB1DD8" w14:textId="7B10CA95" w:rsidR="00033C4D" w:rsidRPr="00DB58BF" w:rsidRDefault="00AA3B58" w:rsidP="00D16CB6">
            <w:pPr>
              <w:rPr>
                <w:b w:val="0"/>
                <w:bCs w:val="0"/>
                <w:sz w:val="24"/>
                <w:szCs w:val="24"/>
              </w:rPr>
            </w:pPr>
            <w:r w:rsidRPr="00DB58BF">
              <w:rPr>
                <w:b w:val="0"/>
                <w:bCs w:val="0"/>
                <w:sz w:val="24"/>
                <w:szCs w:val="24"/>
              </w:rPr>
              <w:t xml:space="preserve"> </w:t>
            </w:r>
            <w:r w:rsidR="00D7640D" w:rsidRPr="00DB58BF">
              <w:rPr>
                <w:b w:val="0"/>
                <w:bCs w:val="0"/>
                <w:sz w:val="24"/>
                <w:szCs w:val="24"/>
              </w:rPr>
              <w:t xml:space="preserve"> </w:t>
            </w:r>
            <w:r w:rsidRPr="00DB58BF">
              <w:rPr>
                <w:b w:val="0"/>
                <w:bCs w:val="0"/>
                <w:sz w:val="24"/>
                <w:szCs w:val="24"/>
              </w:rPr>
              <w:t xml:space="preserve"> </w:t>
            </w:r>
            <w:r w:rsidR="003566C3" w:rsidRPr="00DB58BF">
              <w:rPr>
                <w:b w:val="0"/>
                <w:bCs w:val="0"/>
                <w:sz w:val="24"/>
                <w:szCs w:val="24"/>
              </w:rPr>
              <w:t>Cumulative IF</w:t>
            </w:r>
          </w:p>
        </w:tc>
        <w:tc>
          <w:tcPr>
            <w:tcW w:w="2398" w:type="dxa"/>
          </w:tcPr>
          <w:p w14:paraId="48B4ED24" w14:textId="672DB918" w:rsidR="00033C4D" w:rsidRPr="00DB58BF" w:rsidRDefault="002F7560" w:rsidP="00D16CB6">
            <w:pPr>
              <w:cnfStyle w:val="000000100000" w:firstRow="0" w:lastRow="0" w:firstColumn="0" w:lastColumn="0" w:oddVBand="0" w:evenVBand="0" w:oddHBand="1" w:evenHBand="0" w:firstRowFirstColumn="0" w:firstRowLastColumn="0" w:lastRowFirstColumn="0" w:lastRowLastColumn="0"/>
              <w:rPr>
                <w:sz w:val="24"/>
                <w:szCs w:val="24"/>
              </w:rPr>
            </w:pPr>
            <w:r w:rsidRPr="00DB58BF">
              <w:rPr>
                <w:sz w:val="24"/>
                <w:szCs w:val="24"/>
              </w:rPr>
              <w:t>6.8</w:t>
            </w:r>
          </w:p>
        </w:tc>
      </w:tr>
      <w:tr w:rsidR="00C5153F" w:rsidRPr="00DB58BF" w14:paraId="28101058" w14:textId="77777777" w:rsidTr="00C5153F">
        <w:tc>
          <w:tcPr>
            <w:cnfStyle w:val="001000000000" w:firstRow="0" w:lastRow="0" w:firstColumn="1" w:lastColumn="0" w:oddVBand="0" w:evenVBand="0" w:oddHBand="0" w:evenHBand="0" w:firstRowFirstColumn="0" w:firstRowLastColumn="0" w:lastRowFirstColumn="0" w:lastRowLastColumn="0"/>
            <w:tcW w:w="6096" w:type="dxa"/>
          </w:tcPr>
          <w:p w14:paraId="77E7D1E2" w14:textId="29942FF9" w:rsidR="00C5153F" w:rsidRPr="00DB58BF" w:rsidRDefault="00AA3B58" w:rsidP="00D16CB6">
            <w:pPr>
              <w:rPr>
                <w:b w:val="0"/>
                <w:bCs w:val="0"/>
                <w:sz w:val="24"/>
                <w:szCs w:val="24"/>
              </w:rPr>
            </w:pPr>
            <w:r w:rsidRPr="00DB58BF">
              <w:rPr>
                <w:b w:val="0"/>
                <w:bCs w:val="0"/>
                <w:sz w:val="24"/>
                <w:szCs w:val="24"/>
              </w:rPr>
              <w:t xml:space="preserve">   </w:t>
            </w:r>
            <w:proofErr w:type="spellStart"/>
            <w:r w:rsidR="003566C3" w:rsidRPr="00DB58BF">
              <w:rPr>
                <w:b w:val="0"/>
                <w:bCs w:val="0"/>
                <w:sz w:val="24"/>
                <w:szCs w:val="24"/>
              </w:rPr>
              <w:t>AvIF</w:t>
            </w:r>
            <w:proofErr w:type="spellEnd"/>
            <w:r w:rsidR="003566C3" w:rsidRPr="00DB58BF">
              <w:rPr>
                <w:b w:val="0"/>
                <w:bCs w:val="0"/>
                <w:sz w:val="24"/>
                <w:szCs w:val="24"/>
              </w:rPr>
              <w:t>/publication</w:t>
            </w:r>
          </w:p>
        </w:tc>
        <w:tc>
          <w:tcPr>
            <w:tcW w:w="2398" w:type="dxa"/>
          </w:tcPr>
          <w:p w14:paraId="136BC277" w14:textId="7C17CD5F" w:rsidR="00C5153F" w:rsidRPr="00DB58BF" w:rsidRDefault="002F7560" w:rsidP="00D16CB6">
            <w:pPr>
              <w:cnfStyle w:val="000000000000" w:firstRow="0" w:lastRow="0" w:firstColumn="0" w:lastColumn="0" w:oddVBand="0" w:evenVBand="0" w:oddHBand="0" w:evenHBand="0" w:firstRowFirstColumn="0" w:firstRowLastColumn="0" w:lastRowFirstColumn="0" w:lastRowLastColumn="0"/>
              <w:rPr>
                <w:sz w:val="24"/>
                <w:szCs w:val="24"/>
              </w:rPr>
            </w:pPr>
            <w:r w:rsidRPr="00DB58BF">
              <w:rPr>
                <w:sz w:val="24"/>
                <w:szCs w:val="24"/>
              </w:rPr>
              <w:t>3.4</w:t>
            </w:r>
          </w:p>
        </w:tc>
      </w:tr>
      <w:tr w:rsidR="00C5153F" w:rsidRPr="00DB58BF" w14:paraId="3332197B" w14:textId="77777777" w:rsidTr="00C51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3ACDABD4" w14:textId="44B7F177" w:rsidR="00C5153F" w:rsidRPr="00DB58BF" w:rsidRDefault="00D7640D" w:rsidP="00D16CB6">
            <w:pPr>
              <w:rPr>
                <w:b w:val="0"/>
                <w:bCs w:val="0"/>
                <w:sz w:val="24"/>
                <w:szCs w:val="24"/>
              </w:rPr>
            </w:pPr>
            <w:r w:rsidRPr="00DB58BF">
              <w:rPr>
                <w:b w:val="0"/>
                <w:bCs w:val="0"/>
                <w:sz w:val="24"/>
                <w:szCs w:val="24"/>
              </w:rPr>
              <w:t xml:space="preserve">   </w:t>
            </w:r>
            <w:r w:rsidR="003566C3" w:rsidRPr="00DB58BF">
              <w:rPr>
                <w:b w:val="0"/>
                <w:bCs w:val="0"/>
                <w:sz w:val="24"/>
                <w:szCs w:val="24"/>
              </w:rPr>
              <w:t>Ranking (</w:t>
            </w:r>
            <w:proofErr w:type="spellStart"/>
            <w:r w:rsidR="003566C3" w:rsidRPr="00DB58BF">
              <w:rPr>
                <w:b w:val="0"/>
                <w:bCs w:val="0"/>
                <w:sz w:val="24"/>
                <w:szCs w:val="24"/>
              </w:rPr>
              <w:t>SciMago</w:t>
            </w:r>
            <w:proofErr w:type="spellEnd"/>
            <w:r w:rsidR="003566C3" w:rsidRPr="00DB58BF">
              <w:rPr>
                <w:b w:val="0"/>
                <w:bCs w:val="0"/>
                <w:sz w:val="24"/>
                <w:szCs w:val="24"/>
              </w:rPr>
              <w:t>)</w:t>
            </w:r>
          </w:p>
        </w:tc>
        <w:tc>
          <w:tcPr>
            <w:tcW w:w="2398" w:type="dxa"/>
          </w:tcPr>
          <w:p w14:paraId="7F45C8B7" w14:textId="571FAAC0" w:rsidR="00C5153F" w:rsidRPr="00DB58BF" w:rsidRDefault="005E73D9" w:rsidP="00D16CB6">
            <w:pPr>
              <w:cnfStyle w:val="000000100000" w:firstRow="0" w:lastRow="0" w:firstColumn="0" w:lastColumn="0" w:oddVBand="0" w:evenVBand="0" w:oddHBand="1" w:evenHBand="0" w:firstRowFirstColumn="0" w:firstRowLastColumn="0" w:lastRowFirstColumn="0" w:lastRowLastColumn="0"/>
              <w:rPr>
                <w:sz w:val="24"/>
                <w:szCs w:val="24"/>
              </w:rPr>
            </w:pPr>
            <w:r w:rsidRPr="00DB58BF">
              <w:rPr>
                <w:sz w:val="24"/>
                <w:szCs w:val="24"/>
              </w:rPr>
              <w:t>D1: -, Q1: 2, Q2: -</w:t>
            </w:r>
          </w:p>
        </w:tc>
      </w:tr>
      <w:tr w:rsidR="003566C3" w:rsidRPr="00DB58BF" w14:paraId="47F812AA" w14:textId="77777777" w:rsidTr="00C5153F">
        <w:tc>
          <w:tcPr>
            <w:cnfStyle w:val="001000000000" w:firstRow="0" w:lastRow="0" w:firstColumn="1" w:lastColumn="0" w:oddVBand="0" w:evenVBand="0" w:oddHBand="0" w:evenHBand="0" w:firstRowFirstColumn="0" w:firstRowLastColumn="0" w:lastRowFirstColumn="0" w:lastRowLastColumn="0"/>
            <w:tcW w:w="6096" w:type="dxa"/>
          </w:tcPr>
          <w:p w14:paraId="67DD076E" w14:textId="64A172E6" w:rsidR="003566C3" w:rsidRPr="00DB58BF" w:rsidRDefault="003566C3" w:rsidP="00D16CB6">
            <w:pPr>
              <w:rPr>
                <w:sz w:val="24"/>
                <w:szCs w:val="24"/>
              </w:rPr>
            </w:pPr>
            <w:r w:rsidRPr="00DB58BF">
              <w:rPr>
                <w:sz w:val="24"/>
                <w:szCs w:val="24"/>
              </w:rPr>
              <w:t>Number of citations on Google Scholar</w:t>
            </w:r>
          </w:p>
        </w:tc>
        <w:tc>
          <w:tcPr>
            <w:tcW w:w="2398" w:type="dxa"/>
          </w:tcPr>
          <w:p w14:paraId="257300F2" w14:textId="1C6D1B82" w:rsidR="003566C3" w:rsidRPr="00DB58BF" w:rsidRDefault="0076669E" w:rsidP="00D16CB6">
            <w:pPr>
              <w:cnfStyle w:val="000000000000" w:firstRow="0" w:lastRow="0" w:firstColumn="0" w:lastColumn="0" w:oddVBand="0" w:evenVBand="0" w:oddHBand="0" w:evenHBand="0" w:firstRowFirstColumn="0" w:firstRowLastColumn="0" w:lastRowFirstColumn="0" w:lastRowLastColumn="0"/>
              <w:rPr>
                <w:sz w:val="24"/>
                <w:szCs w:val="24"/>
              </w:rPr>
            </w:pPr>
            <w:r w:rsidRPr="00DB58BF">
              <w:rPr>
                <w:sz w:val="24"/>
                <w:szCs w:val="24"/>
              </w:rPr>
              <w:t>60</w:t>
            </w:r>
          </w:p>
        </w:tc>
      </w:tr>
      <w:tr w:rsidR="003566C3" w:rsidRPr="00DB58BF" w14:paraId="59DAD5EA" w14:textId="77777777" w:rsidTr="00C51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2F26114C" w14:textId="69880CC5" w:rsidR="003566C3" w:rsidRPr="00DB58BF" w:rsidRDefault="003566C3" w:rsidP="00D16CB6">
            <w:pPr>
              <w:rPr>
                <w:sz w:val="24"/>
                <w:szCs w:val="24"/>
              </w:rPr>
            </w:pPr>
            <w:r w:rsidRPr="00DB58BF">
              <w:rPr>
                <w:sz w:val="24"/>
                <w:szCs w:val="24"/>
              </w:rPr>
              <w:t>Number of citations on MTM</w:t>
            </w:r>
            <w:r w:rsidR="00AA3B58" w:rsidRPr="00DB58BF">
              <w:rPr>
                <w:sz w:val="24"/>
                <w:szCs w:val="24"/>
              </w:rPr>
              <w:t>T (independent)</w:t>
            </w:r>
          </w:p>
        </w:tc>
        <w:tc>
          <w:tcPr>
            <w:tcW w:w="2398" w:type="dxa"/>
          </w:tcPr>
          <w:p w14:paraId="627266B3" w14:textId="69A3B55D" w:rsidR="003566C3" w:rsidRPr="00DB58BF" w:rsidRDefault="000C5309" w:rsidP="00D16CB6">
            <w:pPr>
              <w:cnfStyle w:val="000000100000" w:firstRow="0" w:lastRow="0" w:firstColumn="0" w:lastColumn="0" w:oddVBand="0" w:evenVBand="0" w:oddHBand="1" w:evenHBand="0" w:firstRowFirstColumn="0" w:firstRowLastColumn="0" w:lastRowFirstColumn="0" w:lastRowLastColumn="0"/>
              <w:rPr>
                <w:sz w:val="24"/>
                <w:szCs w:val="24"/>
              </w:rPr>
            </w:pPr>
            <w:r w:rsidRPr="00DB58BF">
              <w:rPr>
                <w:sz w:val="24"/>
                <w:szCs w:val="24"/>
              </w:rPr>
              <w:t>36</w:t>
            </w:r>
          </w:p>
        </w:tc>
      </w:tr>
      <w:tr w:rsidR="003566C3" w:rsidRPr="00DB58BF" w14:paraId="5391224B" w14:textId="77777777" w:rsidTr="00C5153F">
        <w:tc>
          <w:tcPr>
            <w:cnfStyle w:val="001000000000" w:firstRow="0" w:lastRow="0" w:firstColumn="1" w:lastColumn="0" w:oddVBand="0" w:evenVBand="0" w:oddHBand="0" w:evenHBand="0" w:firstRowFirstColumn="0" w:firstRowLastColumn="0" w:lastRowFirstColumn="0" w:lastRowLastColumn="0"/>
            <w:tcW w:w="6096" w:type="dxa"/>
          </w:tcPr>
          <w:p w14:paraId="67AFF527" w14:textId="5F1FF222" w:rsidR="003566C3" w:rsidRPr="00DB58BF" w:rsidRDefault="00AA3B58" w:rsidP="00D16CB6">
            <w:pPr>
              <w:rPr>
                <w:sz w:val="24"/>
                <w:szCs w:val="24"/>
              </w:rPr>
            </w:pPr>
            <w:r w:rsidRPr="00DB58BF">
              <w:rPr>
                <w:sz w:val="24"/>
                <w:szCs w:val="24"/>
              </w:rPr>
              <w:t>H-index</w:t>
            </w:r>
          </w:p>
        </w:tc>
        <w:tc>
          <w:tcPr>
            <w:tcW w:w="2398" w:type="dxa"/>
          </w:tcPr>
          <w:p w14:paraId="645CB4CE" w14:textId="1824BC4E" w:rsidR="003566C3" w:rsidRPr="00DB58BF" w:rsidRDefault="0004167E" w:rsidP="00D16CB6">
            <w:pPr>
              <w:cnfStyle w:val="000000000000" w:firstRow="0" w:lastRow="0" w:firstColumn="0" w:lastColumn="0" w:oddVBand="0" w:evenVBand="0" w:oddHBand="0" w:evenHBand="0" w:firstRowFirstColumn="0" w:firstRowLastColumn="0" w:lastRowFirstColumn="0" w:lastRowLastColumn="0"/>
              <w:rPr>
                <w:sz w:val="24"/>
                <w:szCs w:val="24"/>
              </w:rPr>
            </w:pPr>
            <w:r w:rsidRPr="00DB58BF">
              <w:rPr>
                <w:sz w:val="24"/>
                <w:szCs w:val="24"/>
              </w:rPr>
              <w:t>2</w:t>
            </w:r>
          </w:p>
        </w:tc>
      </w:tr>
    </w:tbl>
    <w:p w14:paraId="2724792B" w14:textId="77777777" w:rsidR="00B41FBB" w:rsidRPr="00DB58BF" w:rsidRDefault="00B41FBB" w:rsidP="002E26D4">
      <w:pPr>
        <w:pStyle w:val="Heading2"/>
        <w:spacing w:before="240"/>
        <w:rPr>
          <w:szCs w:val="24"/>
          <w:lang w:val="en-US"/>
        </w:rPr>
      </w:pPr>
      <w:bookmarkStart w:id="5" w:name="_Toc211542184"/>
      <w:r w:rsidRPr="00DB58BF">
        <w:rPr>
          <w:szCs w:val="24"/>
          <w:lang w:val="en-US"/>
        </w:rPr>
        <w:t xml:space="preserve">2.3. </w:t>
      </w:r>
      <w:proofErr w:type="gramStart"/>
      <w:r w:rsidRPr="00DB58BF">
        <w:rPr>
          <w:szCs w:val="24"/>
          <w:lang w:val="en-US"/>
        </w:rPr>
        <w:t>Future plans</w:t>
      </w:r>
      <w:bookmarkEnd w:id="5"/>
      <w:proofErr w:type="gramEnd"/>
      <w:r w:rsidRPr="00DB58BF">
        <w:rPr>
          <w:szCs w:val="24"/>
          <w:lang w:val="en-US"/>
        </w:rPr>
        <w:t xml:space="preserve"> </w:t>
      </w:r>
    </w:p>
    <w:p w14:paraId="09238C47" w14:textId="3E6AAA70" w:rsidR="00391F32" w:rsidRPr="00DB58BF" w:rsidRDefault="00391F32" w:rsidP="0036711F">
      <w:pPr>
        <w:rPr>
          <w:lang w:val="en-US"/>
        </w:rPr>
      </w:pPr>
      <w:r w:rsidRPr="00DB58BF">
        <w:rPr>
          <w:lang w:val="en-US"/>
        </w:rPr>
        <w:t xml:space="preserve">My </w:t>
      </w:r>
      <w:proofErr w:type="gramStart"/>
      <w:r w:rsidRPr="00DB58BF">
        <w:rPr>
          <w:lang w:val="en-US"/>
        </w:rPr>
        <w:t>future</w:t>
      </w:r>
      <w:r w:rsidR="0071244B" w:rsidRPr="00DB58BF">
        <w:rPr>
          <w:lang w:val="en-US"/>
        </w:rPr>
        <w:t xml:space="preserve"> </w:t>
      </w:r>
      <w:r w:rsidRPr="00DB58BF">
        <w:rPr>
          <w:lang w:val="en-US"/>
        </w:rPr>
        <w:t>plans</w:t>
      </w:r>
      <w:proofErr w:type="gramEnd"/>
      <w:r w:rsidRPr="00DB58BF">
        <w:rPr>
          <w:lang w:val="en-US"/>
        </w:rPr>
        <w:t xml:space="preserve"> include deepening my professional and practical knowledge in anesthesiology and intensive care. I am grateful to my mentors for equipping me with a valuable tool that supports staying up-to-date and embracing opportunities for growth. </w:t>
      </w:r>
      <w:r w:rsidR="004B0125" w:rsidRPr="00DB58BF">
        <w:rPr>
          <w:lang w:val="en-US"/>
        </w:rPr>
        <w:t>T</w:t>
      </w:r>
      <w:proofErr w:type="spellStart"/>
      <w:r w:rsidR="004B0125" w:rsidRPr="00DB58BF">
        <w:t>hey</w:t>
      </w:r>
      <w:proofErr w:type="spellEnd"/>
      <w:r w:rsidR="004B0125" w:rsidRPr="00DB58BF">
        <w:t xml:space="preserve"> </w:t>
      </w:r>
      <w:proofErr w:type="spellStart"/>
      <w:r w:rsidR="004B0125" w:rsidRPr="00DB58BF">
        <w:t>have</w:t>
      </w:r>
      <w:proofErr w:type="spellEnd"/>
      <w:r w:rsidR="004B0125" w:rsidRPr="00DB58BF">
        <w:t xml:space="preserve"> </w:t>
      </w:r>
      <w:proofErr w:type="spellStart"/>
      <w:r w:rsidR="004B0125" w:rsidRPr="00DB58BF">
        <w:t>taught</w:t>
      </w:r>
      <w:proofErr w:type="spellEnd"/>
      <w:r w:rsidR="004B0125" w:rsidRPr="00DB58BF">
        <w:t xml:space="preserve"> </w:t>
      </w:r>
      <w:proofErr w:type="spellStart"/>
      <w:r w:rsidR="004B0125" w:rsidRPr="00DB58BF">
        <w:t>me</w:t>
      </w:r>
      <w:proofErr w:type="spellEnd"/>
      <w:r w:rsidR="004B0125" w:rsidRPr="00DB58BF">
        <w:t xml:space="preserve"> </w:t>
      </w:r>
      <w:proofErr w:type="spellStart"/>
      <w:r w:rsidR="004B0125" w:rsidRPr="00DB58BF">
        <w:t>the</w:t>
      </w:r>
      <w:proofErr w:type="spellEnd"/>
      <w:r w:rsidR="004B0125" w:rsidRPr="00DB58BF">
        <w:t xml:space="preserve"> </w:t>
      </w:r>
      <w:proofErr w:type="spellStart"/>
      <w:r w:rsidR="004B0125" w:rsidRPr="00DB58BF">
        <w:t>importance</w:t>
      </w:r>
      <w:proofErr w:type="spellEnd"/>
      <w:r w:rsidR="004B0125" w:rsidRPr="00DB58BF">
        <w:t xml:space="preserve"> of </w:t>
      </w:r>
      <w:proofErr w:type="spellStart"/>
      <w:r w:rsidR="004B0125" w:rsidRPr="00DB58BF">
        <w:t>reading</w:t>
      </w:r>
      <w:proofErr w:type="spellEnd"/>
      <w:r w:rsidR="004B0125" w:rsidRPr="00DB58BF">
        <w:t xml:space="preserve"> </w:t>
      </w:r>
      <w:proofErr w:type="spellStart"/>
      <w:r w:rsidR="004B0125" w:rsidRPr="00DB58BF">
        <w:t>scientific</w:t>
      </w:r>
      <w:proofErr w:type="spellEnd"/>
      <w:r w:rsidR="004B0125" w:rsidRPr="00DB58BF">
        <w:t xml:space="preserve"> </w:t>
      </w:r>
      <w:proofErr w:type="spellStart"/>
      <w:r w:rsidR="004B0125" w:rsidRPr="00DB58BF">
        <w:t>literature</w:t>
      </w:r>
      <w:proofErr w:type="spellEnd"/>
      <w:r w:rsidR="004B0125" w:rsidRPr="00DB58BF">
        <w:t xml:space="preserve"> and </w:t>
      </w:r>
      <w:proofErr w:type="spellStart"/>
      <w:r w:rsidR="004B0125" w:rsidRPr="00DB58BF">
        <w:t>developing</w:t>
      </w:r>
      <w:proofErr w:type="spellEnd"/>
      <w:r w:rsidR="004B0125" w:rsidRPr="00DB58BF">
        <w:t xml:space="preserve"> a more </w:t>
      </w:r>
      <w:proofErr w:type="spellStart"/>
      <w:r w:rsidR="004B0125" w:rsidRPr="00DB58BF">
        <w:t>critical</w:t>
      </w:r>
      <w:proofErr w:type="spellEnd"/>
      <w:r w:rsidR="004B0125" w:rsidRPr="00DB58BF">
        <w:t xml:space="preserve"> </w:t>
      </w:r>
      <w:proofErr w:type="spellStart"/>
      <w:r w:rsidR="004B0125" w:rsidRPr="00DB58BF">
        <w:t>mindse</w:t>
      </w:r>
      <w:r w:rsidR="00DB1B0C" w:rsidRPr="00DB58BF">
        <w:t>t</w:t>
      </w:r>
      <w:proofErr w:type="spellEnd"/>
      <w:r w:rsidR="00DB1B0C" w:rsidRPr="00DB58BF">
        <w:t>.</w:t>
      </w:r>
      <w:r w:rsidR="002E26D4" w:rsidRPr="00DB58BF">
        <w:t xml:space="preserve"> </w:t>
      </w:r>
      <w:r w:rsidR="004370F0" w:rsidRPr="00DB58BF">
        <w:t xml:space="preserve">I am </w:t>
      </w:r>
      <w:proofErr w:type="spellStart"/>
      <w:r w:rsidR="004370F0" w:rsidRPr="00DB58BF">
        <w:t>also</w:t>
      </w:r>
      <w:proofErr w:type="spellEnd"/>
      <w:r w:rsidR="004370F0" w:rsidRPr="00DB58BF">
        <w:t xml:space="preserve"> </w:t>
      </w:r>
      <w:proofErr w:type="spellStart"/>
      <w:r w:rsidR="004370F0" w:rsidRPr="00DB58BF">
        <w:t>looking</w:t>
      </w:r>
      <w:proofErr w:type="spellEnd"/>
      <w:r w:rsidR="004370F0" w:rsidRPr="00DB58BF">
        <w:t xml:space="preserve"> </w:t>
      </w:r>
      <w:proofErr w:type="spellStart"/>
      <w:r w:rsidR="004370F0" w:rsidRPr="00DB58BF">
        <w:t>forward</w:t>
      </w:r>
      <w:proofErr w:type="spellEnd"/>
      <w:r w:rsidR="004370F0" w:rsidRPr="00DB58BF">
        <w:t xml:space="preserve"> </w:t>
      </w:r>
      <w:proofErr w:type="spellStart"/>
      <w:r w:rsidR="004370F0" w:rsidRPr="00DB58BF">
        <w:t>to</w:t>
      </w:r>
      <w:proofErr w:type="spellEnd"/>
      <w:r w:rsidR="004370F0" w:rsidRPr="00DB58BF">
        <w:t xml:space="preserve"> </w:t>
      </w:r>
      <w:proofErr w:type="spellStart"/>
      <w:r w:rsidR="004370F0" w:rsidRPr="00DB58BF">
        <w:t>participate</w:t>
      </w:r>
      <w:proofErr w:type="spellEnd"/>
      <w:r w:rsidR="004370F0" w:rsidRPr="00DB58BF">
        <w:t xml:space="preserve"> in and lead </w:t>
      </w:r>
      <w:proofErr w:type="spellStart"/>
      <w:r w:rsidR="004370F0" w:rsidRPr="00DB58BF">
        <w:t>future</w:t>
      </w:r>
      <w:proofErr w:type="spellEnd"/>
      <w:r w:rsidR="004370F0" w:rsidRPr="00DB58BF">
        <w:t xml:space="preserve"> </w:t>
      </w:r>
      <w:proofErr w:type="spellStart"/>
      <w:r w:rsidR="004370F0" w:rsidRPr="00DB58BF">
        <w:t>research</w:t>
      </w:r>
      <w:proofErr w:type="spellEnd"/>
      <w:r w:rsidR="004370F0" w:rsidRPr="00DB58BF">
        <w:t xml:space="preserve"> </w:t>
      </w:r>
      <w:proofErr w:type="spellStart"/>
      <w:r w:rsidR="004370F0" w:rsidRPr="00DB58BF">
        <w:t>projects</w:t>
      </w:r>
      <w:proofErr w:type="spellEnd"/>
      <w:r w:rsidR="004370F0" w:rsidRPr="00DB58BF">
        <w:t xml:space="preserve"> </w:t>
      </w:r>
      <w:proofErr w:type="spellStart"/>
      <w:r w:rsidR="004370F0" w:rsidRPr="00DB58BF">
        <w:t>both</w:t>
      </w:r>
      <w:proofErr w:type="spellEnd"/>
      <w:r w:rsidR="004370F0" w:rsidRPr="00DB58BF">
        <w:t xml:space="preserve"> in </w:t>
      </w:r>
      <w:proofErr w:type="spellStart"/>
      <w:r w:rsidR="004370F0" w:rsidRPr="00DB58BF">
        <w:t>perioperative</w:t>
      </w:r>
      <w:proofErr w:type="spellEnd"/>
      <w:r w:rsidR="004370F0" w:rsidRPr="00DB58BF">
        <w:t xml:space="preserve"> and </w:t>
      </w:r>
      <w:proofErr w:type="spellStart"/>
      <w:r w:rsidR="004370F0" w:rsidRPr="00DB58BF">
        <w:t>intensive</w:t>
      </w:r>
      <w:proofErr w:type="spellEnd"/>
      <w:r w:rsidR="004370F0" w:rsidRPr="00DB58BF">
        <w:t xml:space="preserve"> </w:t>
      </w:r>
      <w:proofErr w:type="spellStart"/>
      <w:r w:rsidR="004370F0" w:rsidRPr="00DB58BF">
        <w:t>care</w:t>
      </w:r>
      <w:proofErr w:type="spellEnd"/>
      <w:r w:rsidR="004370F0" w:rsidRPr="00DB58BF">
        <w:t xml:space="preserve"> </w:t>
      </w:r>
      <w:proofErr w:type="spellStart"/>
      <w:r w:rsidR="004370F0" w:rsidRPr="00DB58BF">
        <w:t>medicine</w:t>
      </w:r>
      <w:proofErr w:type="spellEnd"/>
      <w:r w:rsidR="004370F0" w:rsidRPr="00DB58BF">
        <w:t>.</w:t>
      </w:r>
    </w:p>
    <w:p w14:paraId="096AADE6" w14:textId="77777777" w:rsidR="00641049" w:rsidRPr="00DB58BF" w:rsidRDefault="00641049" w:rsidP="0036711F">
      <w:pPr>
        <w:rPr>
          <w:lang w:val="en-US"/>
        </w:rPr>
      </w:pPr>
    </w:p>
    <w:p w14:paraId="7AA16486" w14:textId="77777777" w:rsidR="009D62C6" w:rsidRPr="00DB58BF" w:rsidRDefault="009D62C6" w:rsidP="0036711F">
      <w:pPr>
        <w:rPr>
          <w:rFonts w:eastAsiaTheme="majorEastAsia" w:cstheme="majorBidi"/>
          <w:b/>
          <w:lang w:val="en-US"/>
        </w:rPr>
      </w:pPr>
      <w:r w:rsidRPr="00DB58BF">
        <w:rPr>
          <w:lang w:val="en-US"/>
        </w:rPr>
        <w:br w:type="page"/>
      </w:r>
    </w:p>
    <w:p w14:paraId="3D1E2D58" w14:textId="4E6A6894" w:rsidR="00B41FBB" w:rsidRPr="00DB58BF" w:rsidRDefault="00B41FBB" w:rsidP="0036711F">
      <w:pPr>
        <w:pStyle w:val="Heading1"/>
        <w:rPr>
          <w:szCs w:val="24"/>
          <w:lang w:val="en-US"/>
        </w:rPr>
      </w:pPr>
      <w:bookmarkStart w:id="6" w:name="_Toc211542185"/>
      <w:r w:rsidRPr="00DB58BF">
        <w:rPr>
          <w:szCs w:val="24"/>
          <w:lang w:val="en-US"/>
        </w:rPr>
        <w:lastRenderedPageBreak/>
        <w:t xml:space="preserve">3. SUMMARY OF THE </w:t>
      </w:r>
      <w:r w:rsidR="00E458C8" w:rsidRPr="00DB58BF">
        <w:rPr>
          <w:szCs w:val="24"/>
          <w:lang w:val="en-US"/>
        </w:rPr>
        <w:t>THESIS</w:t>
      </w:r>
      <w:bookmarkEnd w:id="6"/>
    </w:p>
    <w:p w14:paraId="5287EEED" w14:textId="2F92BC77" w:rsidR="001C6201" w:rsidRPr="00DB58BF" w:rsidRDefault="00355A3F" w:rsidP="0036711F">
      <w:pPr>
        <w:rPr>
          <w:lang w:val="en-US"/>
        </w:rPr>
      </w:pPr>
      <w:r w:rsidRPr="00DB58BF">
        <w:rPr>
          <w:lang w:val="en-US"/>
        </w:rPr>
        <w:t xml:space="preserve">The aim of this </w:t>
      </w:r>
      <w:r w:rsidR="00E458C8" w:rsidRPr="00DB58BF">
        <w:rPr>
          <w:lang w:val="en-US"/>
        </w:rPr>
        <w:t xml:space="preserve">thesis </w:t>
      </w:r>
      <w:r w:rsidRPr="00DB58BF">
        <w:rPr>
          <w:lang w:val="en-US"/>
        </w:rPr>
        <w:t xml:space="preserve">is to present advanced strategies designed to improve patient health outcomes in both anesthesia and intensive care </w:t>
      </w:r>
      <w:r w:rsidR="00F63101" w:rsidRPr="00DB58BF">
        <w:rPr>
          <w:lang w:val="en-US"/>
        </w:rPr>
        <w:t xml:space="preserve">via two relatively novel </w:t>
      </w:r>
      <w:r w:rsidR="000C1C31" w:rsidRPr="00DB58BF">
        <w:rPr>
          <w:lang w:val="en-US"/>
        </w:rPr>
        <w:t>approaches</w:t>
      </w:r>
      <w:r w:rsidR="00CD1DC9" w:rsidRPr="00DB58BF">
        <w:rPr>
          <w:lang w:val="en-US"/>
        </w:rPr>
        <w:t xml:space="preserve"> to treatment. </w:t>
      </w:r>
    </w:p>
    <w:p w14:paraId="5354C7A9" w14:textId="218F9DDC" w:rsidR="00DA509F" w:rsidRPr="00DB58BF" w:rsidRDefault="00E458C8" w:rsidP="0036711F">
      <w:pPr>
        <w:rPr>
          <w:lang w:val="en-US"/>
        </w:rPr>
      </w:pPr>
      <w:r w:rsidRPr="00DB58BF">
        <w:rPr>
          <w:lang w:val="en-US"/>
        </w:rPr>
        <w:t>Applying</w:t>
      </w:r>
      <w:r w:rsidR="00FD014E" w:rsidRPr="00DB58BF">
        <w:rPr>
          <w:lang w:val="en-US"/>
        </w:rPr>
        <w:t xml:space="preserve"> positive end-expiratory pressure (PEEP) is </w:t>
      </w:r>
      <w:r w:rsidR="00D46A3C" w:rsidRPr="00DB58BF">
        <w:rPr>
          <w:lang w:val="en-US"/>
        </w:rPr>
        <w:t>a</w:t>
      </w:r>
      <w:r w:rsidR="00BA1CF0" w:rsidRPr="00DB58BF">
        <w:rPr>
          <w:lang w:val="en-US"/>
        </w:rPr>
        <w:t>lready known to be a</w:t>
      </w:r>
      <w:r w:rsidR="00D46A3C" w:rsidRPr="00DB58BF">
        <w:rPr>
          <w:lang w:val="en-US"/>
        </w:rPr>
        <w:t xml:space="preserve"> cornerstone of lung protective ventilation, </w:t>
      </w:r>
      <w:r w:rsidR="004338F8" w:rsidRPr="00DB58BF">
        <w:rPr>
          <w:lang w:val="en-US"/>
        </w:rPr>
        <w:t>however average settings may not fit everyone</w:t>
      </w:r>
      <w:r w:rsidR="00D5482D" w:rsidRPr="00DB58BF">
        <w:rPr>
          <w:lang w:val="en-US"/>
        </w:rPr>
        <w:t xml:space="preserve"> </w:t>
      </w:r>
      <w:r w:rsidR="00A47C1E" w:rsidRPr="00DB58BF">
        <w:rPr>
          <w:lang w:val="en-US"/>
        </w:rPr>
        <w:fldChar w:fldCharType="begin"/>
      </w:r>
      <w:r w:rsidR="00320A1A" w:rsidRPr="00DB58BF">
        <w:rPr>
          <w:lang w:val="en-US"/>
        </w:rPr>
        <w:instrText xml:space="preserve"> ADDIN ZOTERO_ITEM CSL_CITATION {"citationID":"VBCt415J","properties":{"formattedCitation":"[1\\uc0\\u8211{}6]","plainCitation":"[1–6]","noteIndex":0},"citationItems":[{"id":147,"uris":["http://zotero.org/users/local/L5HAWlIW/items/A8UQPRVS"],"itemData":{"id":147,"type":"article-journal","abstract":"Editor’s PerspectiveWhat We Already Know about This TopicIn patients with adult respiratory distress syndrome, physiologic tidal volume and positive end-expiratory pressure (PEEP) are protectiveIn patients without lung diseases undergoing mechanical ventilation under general anesthesia, optimal PEEP","container-title":"Anesthesiology","DOI":"10.1097/aln.0000000000002435","issue":"6","note":"publisher: Lippincott Williams and Wilkins","page":"1070-1081","title":"Individual Positive End-expiratory Pressure Settings Optimize Intraoperative Mechanical Ventilation and Reduce Postoperative Atelectasis","volume":"129","author":[{"family":"Pereira","given":"Sérgio; Tucci","suffix":"Mauro R.; Morais, Caio C. A.; Simões, Claudia Marquez; Tonelotto, Bruno Francisco Freitas; Pompeo, Michel S.; Kay, Fernando Uliana; Pelosi, Paolo; Vieira, Joaquim Edson; Amato, Marcelo B. P."}],"issued":{"date-parts":[["2018"]]}}},{"id":33,"uris":["http://zotero.org/users/local/L5HAWlIW/items/7QXNHMZD"],"itemData":{"id":33,"type":"article-journal","container-title":"Turkish Journal of Anesthesia and Reanimation","DOI":"10.5152/TJAR.2016.001","ISSN":"21490937, 2149276X","issue":"4","journalAbbreviation":"Turk J Anaesth Reanim","note":"number: 4","page":"161-162","source":"DOI.org (Crossref)","title":"Optimum PEEP During Anesthesia and in Intensive Care is a Compromise but is Better than Nothing","volume":"44","author":[{"family":"Hedenstierna","given":"Goran"}],"issued":{"date-parts":[["2016",8,11]]}}},{"id":187,"uris":["http://zotero.org/users/local/L5HAWlIW/items/8MR6RMK8"],"itemData":{"id":187,"type":"article-journal","abstract":"This study aimed to observe the effects of lung-protective ventilation (LPV) on oxygenation index (OI) and postoperative pulmonary complications (PPCs) after laparoscopic radical gastrectomy in middle-aged and elderly patients. A total of 120 patients who were scheduled to undergo laparoscopic radical gastrectomy with an expected time of &gt;3 h were randomly divided into conventional ventilation (CV group) with tidal volume (TV) of 10 mL/kg without positive end-expiratory pressure (PEEP), and lung-protective ventilation (PV group) with 7 mL/kg TV and personal level of PEEP with regular recruitment maneuver every 30 min. Measurements of OI, modified clinical pulmonary infection score (mCPIS), and PPCs were assessed during the perioperative period. Fifty-seven patients in the CV group and 58 in the PV group participated in the data analysis. Patients in the PV group showed better pulmonary dynamic compliance, OI, and peripheral capillary oxygen saturation during and after surgery. The mCPIS was significantly lower in the PV group than in the CV group after surgery. The incidence rate of PPCs was lower in the PV group than in the CV group and the difference was significant in patients whose ventilation time was longer than 6 h in both groups. LPV during laparoscopic radical gastrectomy significantly improved pulmonary oxygenation function and reduced postoperative mCPIS and the incidence of PPCs during the early period after surgery of middle-aged and elderly patients, especially patients whose mechanical ventilation time was longer than 6 h.","container-title":"Brazilian journal of medical and biological research = Revista brasileira de pesquisas medicas e biologicas","DOI":"10.1590/1414-431x20198523","issue":"6","note":"publisher: Associacao Brasileira de Divulgacao Cientifica","page":"e8523-NA","title":"Effect of intraoperative lung-protective mechanical ventilation on pulmonary oxygenation function and postoperative pulmonary complications after laparoscopic radical gastrectomy.","volume":"52","author":[{"family":"Liu","given":"Jing; Meng","suffix":"Zhipeng; Lv, Ran; Zhang, Yaping; Wang, Gaojian; Xie, Junran"}],"issued":{"date-parts":[["2019"]]}}},{"id":154,"uris":["http://zotero.org/users/local/L5HAWlIW/items/GATNBAU7"],"itemData":{"id":154,"type":"article-journal","abstract":"The distribution of tidal volume (VT) and recruitment was investigated by chest computed tomography (CT) in eight sedated-paralyzed patients with the adult respiratory distress syndrome (ARDS). A CT section was obtained in the supine position at 0, 5, 10, 15, and 20 cm H2O positive end-expiratory pressure (PEEP) and at the corresponding inspiratory plateau pressure (21 +/- 1.8, 26 +/- 1.4, 31 +/- 1.8, 38 +/- 2.1, and 46 +/- 3.2 cm H2O [mean +/- SE]), keeping VT constant. Each CT section was divided along its ventral-dorsal height into 10 equally spaced intervals (levels). Vi(insp) and Vi(exp) were defined as the gas volume for level i (i = 1 to 10) at end-inspiration and at end-expiration, respectively. The following variables were computed at each lung level: (1) distribution of CT section tidal volume (VTct), i.e., the fraction of VT that inflates a given lung level; (2) the plateau-induced and PEEP-induced recruitment, i.e., the amount of lung tissue previously collapsed that inflates at plateau pressu...","container-title":"American journal of respiratory and critical care medicine","DOI":"10.1164/ajrccm.151.6.7767524","issue":"6","note":"publisher: American Thoracic Society","page":"1807-1814","title":"Effects of positive end-expiratory pressure on regional distribution of tidal volume and recruitment in adult respiratory distress syndrome","volume":"151","author":[{"family":"Gattinoni","given":"Luciano; Pelosi","suffix":"Paolo; Crotti, S; Valenza, Franco"}],"issued":{"date-parts":[["1995"]]}}},{"id":184,"uris":["http://zotero.org/users/local/L5HAWlIW/items/ZG8KH7GQ"],"itemData":{"id":184,"type":"article-journal","abstract":"BACKGROUND:“Optimal” positive end-expiratory pressure (PEEP) can be defined as the PEEP that prevents recollapse after a recruitment maneuver, avoids over-distension, and, consequently, leads to optimal lung mechanics at minimal dead space ventilation. In this study, we analyzed the effects of PEEP","container-title":"Anesthesia and analgesia","DOI":"10.1213/01.ane.0000287684.74505.49","issue":"1","note":"publisher: Lippincott Williams and Wilkins","page":"175-181","title":"Compliance and dead space fraction indicate an optimal level of positive end-expiratory pressure after recruitment in anesthetized patients.","volume":"106","author":[{"family":"Maisch","given":"Stefan; Reissmann","suffix":"Hajo; Fuellekrug, Bernd; Weismann, Dieter; Rutkowski, Thomas; Tusman, Gerardo; Bohm, Stephan H."}],"issued":{"date-parts":[["2008"]]}}},{"id":167,"uris":["http://zotero.org/users/local/L5HAWlIW/items/53VQRNW3"],"itemData":{"id":167,"type":"article-journal","abstract":"Applying lung protective mechanical ventilation (LPV) during general anaesthesia even in patients with non-injured lungs is recommended. However, the effects of an individual PEEP-optimisation on respiratory mechanics, oxygenation and their potential correlation with the inflammatory response and postoperative complications have not been evaluated have not been compared to standard LPV in patients undergoing major abdominal surgery. Thirty-nine patients undergoing open radical cystectomy were enrolled in this study. In the study group (SG) optimal PEEP was determined by a decremental titration procedure and defined as the PEEP value resulting the highest static pulmonary compliance. In the control group (CG) PEEP was set to 6 cmH2O. Primary endpoints were intraoperative respiratory mechanics and gas exchange parameters. Secondary outcomes were perioperative procalcitonin kinetics and postoperative pulmonary complications. Optimal PEEP levels (median = 10, range: 8–14 cmH2O), PaO2/FiO2 (451.24 ± 121.78 mmHg vs. 404.15 ± 115.87 mmHg, P = 0.005) and static pulmonary compliance (52.54 ± 13.59 ml cmH2O-1 vs. 45.22 ± 9.13 ml cmH2O-1, P &lt; 0.0001) were significantly higher, while driving pressure (8.26 ± 1.74 cmH2O vs. 9.73 ± 4.02 cmH2O, P &lt; 0.0001) was significantly lower in the SG as compared to the CG. No significant intergroup differences were found in procalcitonin kinetics (P = 0.076). Composite outcome results indicated a non-significant reduction of postoperative complications in the SG. Intraoperative PEEP-optimization resulted in significant improvement in gas exchange and pulmonary mechanics as compared to standard LPV. Whether these have any effect on short and long term outcomes require further investigations. Trial registration: Clinicaltrials.gov, identifier: NCT02931409.","container-title":"Journal of clinical monitoring and computing","DOI":"10.1007/s10877-020-00519-6","issue":"3","note":"publisher: Springer Netherlands","page":"469-482","title":"Effects of intraoperative positive end-expiratory pressure optimization on respiratory mechanics and the inflammatory response: a randomized controlled trial","volume":"35","author":[{"family":"Ruszkai","given":"Zoltán; Kiss","suffix":"Erika; László, Ildikó; Bokrétás, Gergely Péter; Vizserálek, Dóra; Vámossy, Ildikó; Surány, Erika; Buzogány, István; Bajory, Zoltán; Molnár, Zsolt"}],"issued":{"date-parts":[["2020"]]}}}],"schema":"https://github.com/citation-style-language/schema/raw/master/csl-citation.json"} </w:instrText>
      </w:r>
      <w:r w:rsidR="00A47C1E" w:rsidRPr="00DB58BF">
        <w:rPr>
          <w:lang w:val="en-US"/>
        </w:rPr>
        <w:fldChar w:fldCharType="separate"/>
      </w:r>
      <w:r w:rsidR="00320A1A" w:rsidRPr="00DB58BF">
        <w:rPr>
          <w:rFonts w:cs="Times New Roman"/>
          <w:kern w:val="0"/>
        </w:rPr>
        <w:t>[1–6]</w:t>
      </w:r>
      <w:r w:rsidR="00A47C1E" w:rsidRPr="00DB58BF">
        <w:rPr>
          <w:lang w:val="en-US"/>
        </w:rPr>
        <w:fldChar w:fldCharType="end"/>
      </w:r>
      <w:r w:rsidR="00D5482D" w:rsidRPr="00DB58BF">
        <w:rPr>
          <w:lang w:val="en-US"/>
        </w:rPr>
        <w:t>.</w:t>
      </w:r>
      <w:r w:rsidR="00E24870" w:rsidRPr="00DB58BF">
        <w:rPr>
          <w:lang w:val="en-US"/>
        </w:rPr>
        <w:t xml:space="preserve">This </w:t>
      </w:r>
      <w:r w:rsidR="00DA509F" w:rsidRPr="00DB58BF">
        <w:rPr>
          <w:lang w:val="en-US"/>
        </w:rPr>
        <w:t>systematic review and meta-analysis focused on the effects of individualized PEEP (positive end-expiratory pressure) settings compared to fixed PEEP values during abdominal surgery. Our findings demonstrated that individualized PEEP led to better perioperative outcomes, including fewer postoperative pulmonary complications (PPCs), improved oxygenation (PaO</w:t>
      </w:r>
      <w:r w:rsidR="00DA509F" w:rsidRPr="00DB58BF">
        <w:rPr>
          <w:vertAlign w:val="subscript"/>
          <w:lang w:val="en-US"/>
        </w:rPr>
        <w:t>2</w:t>
      </w:r>
      <w:r w:rsidR="00DA509F" w:rsidRPr="00DB58BF">
        <w:rPr>
          <w:lang w:val="en-US"/>
        </w:rPr>
        <w:t>/FiO</w:t>
      </w:r>
      <w:r w:rsidR="00DA509F" w:rsidRPr="00DB58BF">
        <w:rPr>
          <w:vertAlign w:val="subscript"/>
          <w:lang w:val="en-US"/>
        </w:rPr>
        <w:t>2</w:t>
      </w:r>
      <w:r w:rsidR="00DA509F" w:rsidRPr="00DB58BF">
        <w:rPr>
          <w:lang w:val="en-US"/>
        </w:rPr>
        <w:t>), higher PEEP levels, and enhanced respiratory mechanics. However, there was a tendency toward a higher vasopressor requirement with individualized PEEP. These findings highlight the potential benefits of individualized PEEP in improving respiratory outcomes while suggesting the need for further research to evaluate its hemodynamic effects comprehensively.</w:t>
      </w:r>
    </w:p>
    <w:p w14:paraId="27AB2228" w14:textId="50D43F6B" w:rsidR="00DA509F" w:rsidRPr="00DB58BF" w:rsidRDefault="00DA509F" w:rsidP="0036711F">
      <w:pPr>
        <w:rPr>
          <w:lang w:val="en-US"/>
        </w:rPr>
      </w:pPr>
      <w:r w:rsidRPr="00DB58BF">
        <w:rPr>
          <w:lang w:val="en-US"/>
        </w:rPr>
        <w:t xml:space="preserve">The second study addressed the emerging role of </w:t>
      </w:r>
      <w:proofErr w:type="spellStart"/>
      <w:r w:rsidRPr="00DB58BF">
        <w:rPr>
          <w:lang w:val="en-US"/>
        </w:rPr>
        <w:t>hemoadsorption</w:t>
      </w:r>
      <w:proofErr w:type="spellEnd"/>
      <w:r w:rsidRPr="00DB58BF">
        <w:rPr>
          <w:lang w:val="en-US"/>
        </w:rPr>
        <w:t xml:space="preserve"> (HA) therapy as an adjunctive treatment for acute respiratory distress syndrome (ARDS), a condition often associated with hyperinflammation</w:t>
      </w:r>
      <w:r w:rsidR="00462523" w:rsidRPr="00DB58BF">
        <w:rPr>
          <w:lang w:val="en-US"/>
        </w:rPr>
        <w:fldChar w:fldCharType="begin"/>
      </w:r>
      <w:r w:rsidR="00320A1A" w:rsidRPr="00DB58BF">
        <w:rPr>
          <w:lang w:val="en-US"/>
        </w:rPr>
        <w:instrText xml:space="preserve"> ADDIN ZOTERO_ITEM CSL_CITATION {"citationID":"I6I0RWWs","properties":{"formattedCitation":"[7]","plainCitation":"[7]","noteIndex":0},"citationItems":[{"id":432,"uris":["http://zotero.org/users/local/L5HAWlIW/items/85ZVYYUZ"],"itemData":{"id":432,"type":"article-journal","abstract":"The aim of the current paper is to summarize the results of the International CytoSorb Registry. Data were collected on patients of the intensive care unit. The primary endpoint was actual in-hospital mortality compared to the mortality predicted by APACHE II score. The main secondary endpoints were SOFA scores, inflammatory biomarkers and overall evaluation of the general condition. 1434 patients were enrolled. Indications for hemoadsorption were sepsis/septic shock (N = 936); cardiac surgery perioperatively (N = 172); cardiac surgery postoperatively (N = 67) and \"other\" reasons (N = 259). APACHE-II-predicted mortality was 62.0±24.8%, whereas observed hospital mortality was 50.1%. Overall SOFA scores did not change but cardiovascular and pulmonary SOFA scores decreased by 0.4 [-0.5;-0.3] and -0.2 [-0.3;-0.2] points, respectively. Serum procalcitonin and C-reactive protein levels showed significant reduction: -15.4 [-19.6;-11.17] ng/mL; -17,52 [-70;44] mg/L, respectively. In the septic cohort PCT and IL-6 also showed significant reduction: -18.2 [-23.6;-12.8] ng/mL; -2.6 [-3.0;-2.2] pg/mL, respectively. Evaluation of the overall effect: minimal improvement (22%), much improvement (22%) and very much improvement (10%), no change observed (30%) and deterioration (4%). There was no significant difference in the primary outcome of mortality, but there were improvements in cardiovascular and pulmonary SOFA scores and a reduction in PCT, CRP and IL-6 levels. Trial registration: ClinicalTrials.gov Identifier: NCT02312024 (retrospectively registered).","container-title":"PloS one","DOI":"10.1371/journal.pone.0274315","issue":"10","page":"e0274315-e0274315","title":"Hemoadsorption in the critically ill-Final results of the International CytoSorb Registry.","volume":"17","author":[{"family":"Hawchar","given":"Fatime; Tomescu","suffix":"Dana; Träger, Karl; Joskowiak, Dominik; Kogelmann, Klaus; Soukup, Jens; Friesecke, Singrun; Jacob, David; Gummert, Jan; Faltlhauser, Andreas; Aucella, Filippo; van Tellingen, Martijn; Malbrain, Manu L N G; Bogdanski, Ralph; Weiss, Günter; Herbrich, Andreas; Utzolino, Stefan; Nierhaus, Axel; Baumann, Andreas; Hartjes, Andreas; Henzler, Dietrich; Grigoryev, Evgeny; Fritz, Harald; Bach, Friedhelm; Schröder, Stefan; Weyland, Andreas; Gottschaldt, Udo; Menzel, Matthias; Zachariae, Olivier; Novak, Radovan; Berden, Jernej; Haake, Hendrik; Quintel, Michael; Kloesel, Stephan; Kortgen, Andreas; Stecher, Stephanie; Torti, Patricia; Nestler, Frieder; Nitsch, Markus; Olboeter, Detlef; Muck, Philip; Findeisen, Michael; Bitzinger, Diane; Kraßler, Jens; Benad, Martin; Schott, Martin; Schumacher, Ulrike; Molnar, Zsolt; Brunkhorst, Frank Martin"}],"issued":{"date-parts":[["2022"]]}}}],"schema":"https://github.com/citation-style-language/schema/raw/master/csl-citation.json"} </w:instrText>
      </w:r>
      <w:r w:rsidR="00462523" w:rsidRPr="00DB58BF">
        <w:rPr>
          <w:lang w:val="en-US"/>
        </w:rPr>
        <w:fldChar w:fldCharType="separate"/>
      </w:r>
      <w:r w:rsidR="00320A1A" w:rsidRPr="00DB58BF">
        <w:rPr>
          <w:rFonts w:cs="Times New Roman"/>
        </w:rPr>
        <w:t>[7]</w:t>
      </w:r>
      <w:r w:rsidR="00462523" w:rsidRPr="00DB58BF">
        <w:rPr>
          <w:lang w:val="en-US"/>
        </w:rPr>
        <w:fldChar w:fldCharType="end"/>
      </w:r>
      <w:r w:rsidR="00D5482D" w:rsidRPr="00DB58BF">
        <w:rPr>
          <w:lang w:val="en-US"/>
        </w:rPr>
        <w:t xml:space="preserve">. </w:t>
      </w:r>
      <w:r w:rsidRPr="00DB58BF">
        <w:rPr>
          <w:lang w:val="en-US"/>
        </w:rPr>
        <w:t>This systematic review</w:t>
      </w:r>
      <w:r w:rsidR="00E94D56" w:rsidRPr="00DB58BF">
        <w:rPr>
          <w:lang w:val="en-US"/>
        </w:rPr>
        <w:t xml:space="preserve"> intended to </w:t>
      </w:r>
      <w:r w:rsidRPr="00DB58BF">
        <w:rPr>
          <w:lang w:val="en-US"/>
        </w:rPr>
        <w:t>analyze the effects of HA in ARDS. While the available studies were limited in number and quality, our results revealed promising outcomes, including improved oxygenation, attenuation of the inflammatory response, and reduced vasopressor requirements after HA. Importantly, no serious device-related adverse events were reported. These findings provide a foundation for future high-quality clinical trials to better define the role of HA in ARDS management.</w:t>
      </w:r>
    </w:p>
    <w:p w14:paraId="4DC1057F" w14:textId="3AB880D4" w:rsidR="009D62C6" w:rsidRPr="00DB58BF" w:rsidRDefault="00DA509F" w:rsidP="0036711F">
      <w:pPr>
        <w:rPr>
          <w:rFonts w:eastAsiaTheme="majorEastAsia" w:cstheme="majorBidi"/>
          <w:b/>
          <w:lang w:val="en-US"/>
        </w:rPr>
      </w:pPr>
      <w:r w:rsidRPr="00DB58BF">
        <w:rPr>
          <w:lang w:val="en-US"/>
        </w:rPr>
        <w:t xml:space="preserve">In summary, both studies contribute to advancing our understanding of individualized strategies and adjunctive therapies in </w:t>
      </w:r>
      <w:r w:rsidR="00EF3E07" w:rsidRPr="00DB58BF">
        <w:rPr>
          <w:lang w:val="en-US"/>
        </w:rPr>
        <w:t>mechanically ventilated patients</w:t>
      </w:r>
      <w:r w:rsidRPr="00DB58BF">
        <w:rPr>
          <w:lang w:val="en-US"/>
        </w:rPr>
        <w:t>. These findings not only synthesize the current evidence but also provide valuable insights for designing future studies to optimize patient outcomes in anesthesiology and intensive therapy.</w:t>
      </w:r>
      <w:r w:rsidR="009D62C6" w:rsidRPr="00DB58BF">
        <w:rPr>
          <w:lang w:val="en-US"/>
        </w:rPr>
        <w:br w:type="page"/>
      </w:r>
    </w:p>
    <w:p w14:paraId="25B6A9D5" w14:textId="247017C5" w:rsidR="00B41FBB" w:rsidRPr="00DB58BF" w:rsidRDefault="00B41FBB" w:rsidP="0036711F">
      <w:pPr>
        <w:pStyle w:val="Heading1"/>
        <w:rPr>
          <w:szCs w:val="24"/>
          <w:lang w:val="en-US"/>
        </w:rPr>
      </w:pPr>
      <w:bookmarkStart w:id="7" w:name="_Toc211542186"/>
      <w:r w:rsidRPr="00DB58BF">
        <w:rPr>
          <w:szCs w:val="24"/>
          <w:lang w:val="en-US"/>
        </w:rPr>
        <w:lastRenderedPageBreak/>
        <w:t>4. GRAPHICAL ABSTRACT</w:t>
      </w:r>
      <w:r w:rsidR="00C32AB7" w:rsidRPr="00DB58BF">
        <w:rPr>
          <w:szCs w:val="24"/>
          <w:lang w:val="en-US"/>
        </w:rPr>
        <w:t>S</w:t>
      </w:r>
      <w:bookmarkEnd w:id="7"/>
      <w:r w:rsidRPr="00DB58BF">
        <w:rPr>
          <w:szCs w:val="24"/>
          <w:lang w:val="en-US"/>
        </w:rPr>
        <w:t xml:space="preserve"> </w:t>
      </w:r>
    </w:p>
    <w:p w14:paraId="017B2A5A" w14:textId="505D3852" w:rsidR="000453FC" w:rsidRPr="00DB58BF" w:rsidRDefault="000453FC" w:rsidP="006F7139">
      <w:pPr>
        <w:keepNext/>
      </w:pPr>
      <w:r w:rsidRPr="00DB58BF">
        <w:rPr>
          <w:noProof/>
        </w:rPr>
        <w:drawing>
          <wp:inline distT="0" distB="0" distL="0" distR="0" wp14:anchorId="23468A17" wp14:editId="2A9C35C0">
            <wp:extent cx="5400040" cy="6280150"/>
            <wp:effectExtent l="0" t="0" r="0" b="6350"/>
            <wp:docPr id="1247729746" name="Picture 1" descr="A poster of a medical proced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29746" name="Picture 1" descr="A poster of a medical procedure&#10;&#10;AI-generated content may be incorrect."/>
                    <pic:cNvPicPr/>
                  </pic:nvPicPr>
                  <pic:blipFill>
                    <a:blip r:embed="rId11"/>
                    <a:stretch>
                      <a:fillRect/>
                    </a:stretch>
                  </pic:blipFill>
                  <pic:spPr>
                    <a:xfrm>
                      <a:off x="0" y="0"/>
                      <a:ext cx="5400040" cy="6280150"/>
                    </a:xfrm>
                    <a:prstGeom prst="rect">
                      <a:avLst/>
                    </a:prstGeom>
                  </pic:spPr>
                </pic:pic>
              </a:graphicData>
            </a:graphic>
          </wp:inline>
        </w:drawing>
      </w:r>
    </w:p>
    <w:p w14:paraId="50F1B8A1" w14:textId="4E754411" w:rsidR="00843C60" w:rsidRPr="00DB58BF" w:rsidRDefault="006F7139" w:rsidP="006F7139">
      <w:pPr>
        <w:pStyle w:val="Caption"/>
        <w:rPr>
          <w:szCs w:val="24"/>
        </w:rPr>
      </w:pPr>
      <w:proofErr w:type="spellStart"/>
      <w:r w:rsidRPr="00DB58BF">
        <w:rPr>
          <w:szCs w:val="24"/>
        </w:rPr>
        <w:t>Figure</w:t>
      </w:r>
      <w:proofErr w:type="spellEnd"/>
      <w:r w:rsidRPr="00DB58BF">
        <w:rPr>
          <w:szCs w:val="24"/>
        </w:rPr>
        <w:t xml:space="preserve"> </w:t>
      </w:r>
      <w:r w:rsidR="007F7DB3" w:rsidRPr="00DB58BF">
        <w:rPr>
          <w:szCs w:val="24"/>
        </w:rPr>
        <w:fldChar w:fldCharType="begin"/>
      </w:r>
      <w:r w:rsidR="007F7DB3" w:rsidRPr="00DB58BF">
        <w:rPr>
          <w:szCs w:val="24"/>
        </w:rPr>
        <w:instrText xml:space="preserve"> SEQ Figure \* ARABIC </w:instrText>
      </w:r>
      <w:r w:rsidR="007F7DB3" w:rsidRPr="00DB58BF">
        <w:rPr>
          <w:szCs w:val="24"/>
        </w:rPr>
        <w:fldChar w:fldCharType="separate"/>
      </w:r>
      <w:r w:rsidR="007F7DB3" w:rsidRPr="00DB58BF">
        <w:rPr>
          <w:noProof/>
          <w:szCs w:val="24"/>
        </w:rPr>
        <w:t>1</w:t>
      </w:r>
      <w:r w:rsidR="007F7DB3" w:rsidRPr="00DB58BF">
        <w:rPr>
          <w:noProof/>
          <w:szCs w:val="24"/>
        </w:rPr>
        <w:fldChar w:fldCharType="end"/>
      </w:r>
      <w:r w:rsidRPr="00DB58BF">
        <w:rPr>
          <w:szCs w:val="24"/>
        </w:rPr>
        <w:t xml:space="preserve">- </w:t>
      </w:r>
      <w:proofErr w:type="spellStart"/>
      <w:r w:rsidRPr="00DB58BF">
        <w:rPr>
          <w:szCs w:val="24"/>
        </w:rPr>
        <w:t>Graphical</w:t>
      </w:r>
      <w:proofErr w:type="spellEnd"/>
      <w:r w:rsidRPr="00DB58BF">
        <w:rPr>
          <w:szCs w:val="24"/>
        </w:rPr>
        <w:t xml:space="preserve"> </w:t>
      </w:r>
      <w:proofErr w:type="spellStart"/>
      <w:r w:rsidRPr="00DB58BF">
        <w:rPr>
          <w:szCs w:val="24"/>
        </w:rPr>
        <w:t>abstracts</w:t>
      </w:r>
      <w:proofErr w:type="spellEnd"/>
      <w:r w:rsidRPr="00DB58BF">
        <w:rPr>
          <w:szCs w:val="24"/>
        </w:rPr>
        <w:t xml:space="preserve"> of </w:t>
      </w:r>
      <w:proofErr w:type="spellStart"/>
      <w:r w:rsidRPr="00DB58BF">
        <w:rPr>
          <w:szCs w:val="24"/>
        </w:rPr>
        <w:t>the</w:t>
      </w:r>
      <w:proofErr w:type="spellEnd"/>
      <w:r w:rsidRPr="00DB58BF">
        <w:rPr>
          <w:szCs w:val="24"/>
        </w:rPr>
        <w:t xml:space="preserve"> </w:t>
      </w:r>
      <w:proofErr w:type="spellStart"/>
      <w:r w:rsidRPr="00DB58BF">
        <w:rPr>
          <w:szCs w:val="24"/>
        </w:rPr>
        <w:t>studies</w:t>
      </w:r>
      <w:proofErr w:type="spellEnd"/>
      <w:r w:rsidRPr="00DB58BF">
        <w:rPr>
          <w:szCs w:val="24"/>
        </w:rPr>
        <w:t xml:space="preserve"> </w:t>
      </w:r>
      <w:proofErr w:type="spellStart"/>
      <w:r w:rsidRPr="00DB58BF">
        <w:rPr>
          <w:szCs w:val="24"/>
        </w:rPr>
        <w:t>included</w:t>
      </w:r>
      <w:proofErr w:type="spellEnd"/>
      <w:r w:rsidRPr="00DB58BF">
        <w:rPr>
          <w:szCs w:val="24"/>
        </w:rPr>
        <w:t xml:space="preserve"> in </w:t>
      </w:r>
      <w:proofErr w:type="spellStart"/>
      <w:r w:rsidRPr="00DB58BF">
        <w:rPr>
          <w:szCs w:val="24"/>
        </w:rPr>
        <w:t>the</w:t>
      </w:r>
      <w:proofErr w:type="spellEnd"/>
      <w:r w:rsidRPr="00DB58BF">
        <w:rPr>
          <w:szCs w:val="24"/>
        </w:rPr>
        <w:t xml:space="preserve"> </w:t>
      </w:r>
      <w:proofErr w:type="spellStart"/>
      <w:r w:rsidRPr="00DB58BF">
        <w:rPr>
          <w:szCs w:val="24"/>
        </w:rPr>
        <w:t>thesis</w:t>
      </w:r>
      <w:proofErr w:type="spellEnd"/>
    </w:p>
    <w:p w14:paraId="70C950FB" w14:textId="77777777" w:rsidR="00843C60" w:rsidRPr="00DB58BF" w:rsidRDefault="00843C60">
      <w:pPr>
        <w:spacing w:line="278" w:lineRule="auto"/>
        <w:jc w:val="left"/>
        <w:rPr>
          <w:rFonts w:eastAsiaTheme="majorEastAsia" w:cstheme="majorBidi"/>
          <w:b/>
          <w:lang w:val="en-US"/>
        </w:rPr>
      </w:pPr>
      <w:r w:rsidRPr="00DB58BF">
        <w:rPr>
          <w:lang w:val="en-US"/>
        </w:rPr>
        <w:br w:type="page"/>
      </w:r>
    </w:p>
    <w:p w14:paraId="2C2B6A83" w14:textId="603BCA36" w:rsidR="00B41FBB" w:rsidRPr="00DB58BF" w:rsidRDefault="00B41FBB" w:rsidP="0036711F">
      <w:pPr>
        <w:pStyle w:val="Heading1"/>
        <w:rPr>
          <w:b w:val="0"/>
          <w:szCs w:val="24"/>
          <w:lang w:val="en-US"/>
        </w:rPr>
      </w:pPr>
      <w:bookmarkStart w:id="8" w:name="_Toc211542187"/>
      <w:r w:rsidRPr="00DB58BF">
        <w:rPr>
          <w:szCs w:val="24"/>
          <w:lang w:val="en-US"/>
        </w:rPr>
        <w:lastRenderedPageBreak/>
        <w:t>5. INTRODUCTION</w:t>
      </w:r>
      <w:bookmarkEnd w:id="8"/>
      <w:r w:rsidRPr="00DB58BF">
        <w:rPr>
          <w:szCs w:val="24"/>
          <w:lang w:val="en-US"/>
        </w:rPr>
        <w:t xml:space="preserve"> </w:t>
      </w:r>
    </w:p>
    <w:p w14:paraId="15C9E192" w14:textId="2C6B2AF6" w:rsidR="00B41FBB" w:rsidRPr="00DB58BF" w:rsidRDefault="00B41FBB" w:rsidP="0036711F">
      <w:pPr>
        <w:pStyle w:val="Heading2"/>
        <w:rPr>
          <w:szCs w:val="24"/>
          <w:lang w:val="en-US"/>
        </w:rPr>
      </w:pPr>
      <w:bookmarkStart w:id="9" w:name="_Toc211542188"/>
      <w:r w:rsidRPr="00DB58BF">
        <w:rPr>
          <w:szCs w:val="24"/>
          <w:lang w:val="en-US"/>
        </w:rPr>
        <w:t xml:space="preserve">5.1. Overview </w:t>
      </w:r>
      <w:r w:rsidR="0054246B" w:rsidRPr="00DB58BF">
        <w:rPr>
          <w:szCs w:val="24"/>
          <w:lang w:val="en-US"/>
        </w:rPr>
        <w:t>of Study I. – Individualized vs. fixed intraoperative PEEP settings</w:t>
      </w:r>
      <w:bookmarkEnd w:id="9"/>
    </w:p>
    <w:p w14:paraId="122A3F41" w14:textId="3E667BB0" w:rsidR="00C13BF8" w:rsidRPr="00DB58BF" w:rsidRDefault="00AC0F19" w:rsidP="006D239E">
      <w:pPr>
        <w:rPr>
          <w:lang w:val="en-US"/>
        </w:rPr>
      </w:pPr>
      <w:r w:rsidRPr="00DB58BF">
        <w:rPr>
          <w:lang w:val="en-US"/>
        </w:rPr>
        <w:t>During general anesthesia,</w:t>
      </w:r>
      <w:r w:rsidR="000820D5" w:rsidRPr="00DB58BF">
        <w:rPr>
          <w:lang w:val="en-US"/>
        </w:rPr>
        <w:t xml:space="preserve"> </w:t>
      </w:r>
      <w:r w:rsidR="00E06819" w:rsidRPr="00DB58BF">
        <w:rPr>
          <w:lang w:val="en-US"/>
        </w:rPr>
        <w:t xml:space="preserve">functional residual capacity reduces, </w:t>
      </w:r>
      <w:r w:rsidRPr="00DB58BF">
        <w:rPr>
          <w:lang w:val="en-US"/>
        </w:rPr>
        <w:t xml:space="preserve">progressive atelectasis </w:t>
      </w:r>
      <w:r w:rsidR="00251843" w:rsidRPr="00DB58BF">
        <w:rPr>
          <w:lang w:val="en-US"/>
        </w:rPr>
        <w:t xml:space="preserve">develops </w:t>
      </w:r>
      <w:r w:rsidRPr="00DB58BF">
        <w:rPr>
          <w:lang w:val="en-US"/>
        </w:rPr>
        <w:t>in dependent areas of the lungs</w:t>
      </w:r>
      <w:r w:rsidR="00080DA6" w:rsidRPr="00DB58BF">
        <w:rPr>
          <w:lang w:val="en-US"/>
        </w:rPr>
        <w:fldChar w:fldCharType="begin"/>
      </w:r>
      <w:r w:rsidR="006235F6" w:rsidRPr="00DB58BF">
        <w:rPr>
          <w:lang w:val="en-US"/>
        </w:rPr>
        <w:instrText xml:space="preserve"> ADDIN ZOTERO_ITEM CSL_CITATION {"citationID":"nKeTDf8m","properties":{"formattedCitation":"[8]","plainCitation":"[8]","noteIndex":0},"citationItems":[{"id":183,"uris":["http://zotero.org/users/local/L5HAWlIW/items/6V2U3ULD"],"itemData":{"id":183,"type":"article-journal","abstract":"Summary Background Protective mechanical ventilation strategies using low tidal volume or high levels of positive end-expiratory pressure (PEEP) improve outcomes for patients who have had surgery. The role of the driving pressure, which is the difference between the plateau pressure and the level of positive end-expiratory pressure is not known. We investigated the association of tidal volume, the level of PEEP, and driving pressure during intraoperative ventilation with the development of postoperative pulmonary complications. Methods We did a meta-analysis of individual patient data from randomised controlled trials of protective ventilation during general anesthaesia for surgery published up to July 30, 2015. The main outcome was development of postoperative pulmonary complications (postoperative lung injury, pulmonary infection, or barotrauma). Findings We included data from 17 randomised controlled trials, including 2250 patients. Multivariate analysis suggested that driving pressure was associated with the development of postoperative pulmonary complications (odds ratio [OR] for one unit increase of driving pressure 1·16, 95% CI 1·13–1·19; p Interpretation In patients having surgery, intraoperative high driving pressure and changes in the level of PEEP that result in an increase of driving pressure are associated with more postoperative pulmonary complications. However, a randomised controlled trial comparing ventilation based on driving pressure with usual care is needed to confirm these findings. Funding None.","container-title":"The Lancet. Respiratory medicine","DOI":"10.1016/s2213-2600(16)00057-6","issue":"4","note":"publisher: Elsevier Limited","page":"272-280","title":"Association between driving pressure and development of postoperative pulmonary complications in patients undergoing mechanical ventilation for general anaesthesia: a meta-analysis of individual patient data.","volume":"4","author":[{"family":"Neto","given":"Ary Serpa; Hemmes","suffix":"Sabrine N.T.; Barbas, Carmen Silvia Valente; Beiderlinden, Martin; Fernandez-Bustamante, Ana; Futier, Emmanuel; Gajic, Ognjen; El-Tahan, Mohamed R.; Ghamdi, Abdulmohsin A.Al; Günay, Ersin; Jaber, Samir; Kokulu, Serdar; Kozian, Alf; Licker, Marc; Lin, Wen Qian; Maslow, Andrew; Memtsoudis, Stavros G.; Miranda, Dinis dos Reis; Moine, Pierre; Ng, Thomas; Paparella, Domenico; Ranieri, V. Marco; Scavonetto, Federica; Schilling, Thomas F.; Selmo, Gabriele; Severgnini, Paolo; Sprung, Juraj; Sundar, Sugantha; Talmor, Daniel; Treschan, Tanja A.; Unzueta, Carmen; Weingarten, Toby N.; Wolthuis, Esther K.; Wrigge, Hermann; Amato, Marcelo B. P.; Costa, Eduardo L. V.; de Abreu, Marcelo Gama; Pelosi, Paolo; Schultz, Marcus J."}],"issued":{"date-parts":[["2016"]]}}}],"schema":"https://github.com/citation-style-language/schema/raw/master/csl-citation.json"} </w:instrText>
      </w:r>
      <w:r w:rsidR="00080DA6" w:rsidRPr="00DB58BF">
        <w:rPr>
          <w:lang w:val="en-US"/>
        </w:rPr>
        <w:fldChar w:fldCharType="separate"/>
      </w:r>
      <w:r w:rsidR="006235F6" w:rsidRPr="00DB58BF">
        <w:rPr>
          <w:rFonts w:cs="Times New Roman"/>
        </w:rPr>
        <w:t>[8]</w:t>
      </w:r>
      <w:r w:rsidR="00080DA6" w:rsidRPr="00DB58BF">
        <w:rPr>
          <w:lang w:val="en-US"/>
        </w:rPr>
        <w:fldChar w:fldCharType="end"/>
      </w:r>
      <w:r w:rsidR="00D5482D" w:rsidRPr="00DB58BF">
        <w:rPr>
          <w:lang w:val="en-US"/>
        </w:rPr>
        <w:t>.</w:t>
      </w:r>
      <w:r w:rsidRPr="00DB58BF">
        <w:rPr>
          <w:lang w:val="en-US"/>
        </w:rPr>
        <w:t xml:space="preserve"> At the same time, due to atelectasis, inspiratory pressures may cause excessive </w:t>
      </w:r>
      <w:r w:rsidR="00251843" w:rsidRPr="00DB58BF">
        <w:rPr>
          <w:lang w:val="en-US"/>
        </w:rPr>
        <w:t>over</w:t>
      </w:r>
      <w:r w:rsidRPr="00DB58BF">
        <w:rPr>
          <w:lang w:val="en-US"/>
        </w:rPr>
        <w:t>distention in the aerated parts of the lungs</w:t>
      </w:r>
      <w:r w:rsidR="00D5482D" w:rsidRPr="00DB58BF">
        <w:rPr>
          <w:lang w:val="en-US"/>
        </w:rPr>
        <w:t xml:space="preserve"> </w:t>
      </w:r>
      <w:r w:rsidR="00F4652F" w:rsidRPr="00DB58BF">
        <w:rPr>
          <w:lang w:val="en-US"/>
        </w:rPr>
        <w:fldChar w:fldCharType="begin"/>
      </w:r>
      <w:r w:rsidR="006235F6" w:rsidRPr="00DB58BF">
        <w:rPr>
          <w:lang w:val="en-US"/>
        </w:rPr>
        <w:instrText xml:space="preserve"> ADDIN ZOTERO_ITEM CSL_CITATION {"citationID":"XL4dmtJT","properties":{"formattedCitation":"[9]","plainCitation":"[9]","noteIndex":0},"citationItems":[{"id":5102,"uris":["http://zotero.org/users/local/L5HAWlIW/items/QH5P2DG4"],"itemData":{"id":5102,"type":"article-journal","container-title":"New England Journal of Medicine","DOI":"10.1056/NEJM200005043421801","ISSN":"0028-4793, 1533-4406","issue":"18","journalAbbreviation":"N Engl J Med","language":"en","page":"1301-1308","source":"DOI.org (Crossref)","title":"Ventilation with Lower Tidal Volumes as Compared with Traditional Tidal Volumes for Acute Lung Injury and the Acute Respiratory Distress Syndrome","volume":"342","issued":{"date-parts":[["2000",5,4]]}}}],"schema":"https://github.com/citation-style-language/schema/raw/master/csl-citation.json"} </w:instrText>
      </w:r>
      <w:r w:rsidR="00F4652F" w:rsidRPr="00DB58BF">
        <w:rPr>
          <w:lang w:val="en-US"/>
        </w:rPr>
        <w:fldChar w:fldCharType="separate"/>
      </w:r>
      <w:r w:rsidR="006235F6" w:rsidRPr="00DB58BF">
        <w:rPr>
          <w:rFonts w:cs="Times New Roman"/>
        </w:rPr>
        <w:t>[9]</w:t>
      </w:r>
      <w:r w:rsidR="00F4652F" w:rsidRPr="00DB58BF">
        <w:rPr>
          <w:lang w:val="en-US"/>
        </w:rPr>
        <w:fldChar w:fldCharType="end"/>
      </w:r>
      <w:r w:rsidR="00D5482D" w:rsidRPr="00DB58BF">
        <w:rPr>
          <w:lang w:val="en-US"/>
        </w:rPr>
        <w:t>.</w:t>
      </w:r>
      <w:r w:rsidRPr="00DB58BF">
        <w:rPr>
          <w:lang w:val="en-US"/>
        </w:rPr>
        <w:t xml:space="preserve"> </w:t>
      </w:r>
      <w:r w:rsidR="00336757" w:rsidRPr="00DB58BF">
        <w:rPr>
          <w:lang w:val="en-US"/>
        </w:rPr>
        <w:t xml:space="preserve">Other </w:t>
      </w:r>
      <w:r w:rsidR="009846B9" w:rsidRPr="00DB58BF">
        <w:rPr>
          <w:lang w:val="en-US"/>
        </w:rPr>
        <w:t xml:space="preserve">perioperative factors, e.g. </w:t>
      </w:r>
      <w:proofErr w:type="spellStart"/>
      <w:r w:rsidR="00336757" w:rsidRPr="00DB58BF">
        <w:t>pain</w:t>
      </w:r>
      <w:proofErr w:type="spellEnd"/>
      <w:r w:rsidR="00336757" w:rsidRPr="00DB58BF">
        <w:t xml:space="preserve"> in </w:t>
      </w:r>
      <w:proofErr w:type="spellStart"/>
      <w:r w:rsidR="00336757" w:rsidRPr="00DB58BF">
        <w:t>general</w:t>
      </w:r>
      <w:proofErr w:type="spellEnd"/>
      <w:r w:rsidR="00336757" w:rsidRPr="00DB58BF">
        <w:t xml:space="preserve"> </w:t>
      </w:r>
      <w:proofErr w:type="spellStart"/>
      <w:r w:rsidR="00336757" w:rsidRPr="00DB58BF">
        <w:t>can</w:t>
      </w:r>
      <w:proofErr w:type="spellEnd"/>
      <w:r w:rsidR="00336757" w:rsidRPr="00DB58BF">
        <w:t xml:space="preserve"> </w:t>
      </w:r>
      <w:proofErr w:type="spellStart"/>
      <w:r w:rsidR="00336757" w:rsidRPr="00DB58BF">
        <w:t>impair</w:t>
      </w:r>
      <w:proofErr w:type="spellEnd"/>
      <w:r w:rsidR="00336757" w:rsidRPr="00DB58BF">
        <w:t xml:space="preserve"> </w:t>
      </w:r>
      <w:proofErr w:type="spellStart"/>
      <w:r w:rsidR="00336757" w:rsidRPr="00DB58BF">
        <w:t>respiration</w:t>
      </w:r>
      <w:proofErr w:type="spellEnd"/>
      <w:r w:rsidR="00336757" w:rsidRPr="00DB58BF">
        <w:t xml:space="preserve">, </w:t>
      </w:r>
      <w:proofErr w:type="spellStart"/>
      <w:r w:rsidR="00336757" w:rsidRPr="00DB58BF">
        <w:t>as</w:t>
      </w:r>
      <w:proofErr w:type="spellEnd"/>
      <w:r w:rsidR="00336757" w:rsidRPr="00DB58BF">
        <w:t xml:space="preserve"> </w:t>
      </w:r>
      <w:proofErr w:type="spellStart"/>
      <w:r w:rsidR="007046C7" w:rsidRPr="00DB58BF">
        <w:t>it</w:t>
      </w:r>
      <w:proofErr w:type="spellEnd"/>
      <w:r w:rsidR="007046C7" w:rsidRPr="00DB58BF">
        <w:t xml:space="preserve"> </w:t>
      </w:r>
      <w:proofErr w:type="spellStart"/>
      <w:r w:rsidR="00336757" w:rsidRPr="00DB58BF">
        <w:t>limits</w:t>
      </w:r>
      <w:proofErr w:type="spellEnd"/>
      <w:r w:rsidR="00336757" w:rsidRPr="00DB58BF">
        <w:t xml:space="preserve"> </w:t>
      </w:r>
      <w:proofErr w:type="spellStart"/>
      <w:r w:rsidR="00336757" w:rsidRPr="00DB58BF">
        <w:t>respiratory</w:t>
      </w:r>
      <w:proofErr w:type="spellEnd"/>
      <w:r w:rsidR="00336757" w:rsidRPr="00DB58BF">
        <w:t xml:space="preserve"> </w:t>
      </w:r>
      <w:proofErr w:type="spellStart"/>
      <w:r w:rsidR="00336757" w:rsidRPr="00DB58BF">
        <w:t>muscle</w:t>
      </w:r>
      <w:proofErr w:type="spellEnd"/>
      <w:r w:rsidR="00336757" w:rsidRPr="00DB58BF">
        <w:t xml:space="preserve"> </w:t>
      </w:r>
      <w:proofErr w:type="spellStart"/>
      <w:r w:rsidR="00336757" w:rsidRPr="00DB58BF">
        <w:t>function</w:t>
      </w:r>
      <w:proofErr w:type="spellEnd"/>
      <w:r w:rsidR="00360DBA" w:rsidRPr="00DB58BF">
        <w:t xml:space="preserve"> </w:t>
      </w:r>
      <w:proofErr w:type="spellStart"/>
      <w:r w:rsidR="00360DBA" w:rsidRPr="00DB58BF">
        <w:t>for</w:t>
      </w:r>
      <w:proofErr w:type="spellEnd"/>
      <w:r w:rsidR="00925EE9" w:rsidRPr="00DB58BF">
        <w:t xml:space="preserve"> </w:t>
      </w:r>
      <w:proofErr w:type="spellStart"/>
      <w:r w:rsidR="00925EE9" w:rsidRPr="00DB58BF">
        <w:t>secretion</w:t>
      </w:r>
      <w:proofErr w:type="spellEnd"/>
      <w:r w:rsidR="00925EE9" w:rsidRPr="00DB58BF">
        <w:t xml:space="preserve"> </w:t>
      </w:r>
      <w:proofErr w:type="spellStart"/>
      <w:r w:rsidR="00925EE9" w:rsidRPr="00DB58BF">
        <w:t>elimination</w:t>
      </w:r>
      <w:proofErr w:type="spellEnd"/>
      <w:r w:rsidR="00925EE9" w:rsidRPr="00DB58BF">
        <w:t xml:space="preserve"> and </w:t>
      </w:r>
      <w:proofErr w:type="spellStart"/>
      <w:r w:rsidR="00360DBA" w:rsidRPr="00DB58BF">
        <w:t>adequate</w:t>
      </w:r>
      <w:proofErr w:type="spellEnd"/>
      <w:r w:rsidR="00360DBA" w:rsidRPr="00DB58BF">
        <w:t xml:space="preserve"> </w:t>
      </w:r>
      <w:proofErr w:type="spellStart"/>
      <w:r w:rsidR="00925EE9" w:rsidRPr="00DB58BF">
        <w:t>ventilation</w:t>
      </w:r>
      <w:proofErr w:type="spellEnd"/>
      <w:r w:rsidR="003D1005" w:rsidRPr="00DB58BF">
        <w:t xml:space="preserve">. </w:t>
      </w:r>
      <w:proofErr w:type="spellStart"/>
      <w:r w:rsidR="003D1005" w:rsidRPr="00DB58BF">
        <w:t>All</w:t>
      </w:r>
      <w:proofErr w:type="spellEnd"/>
      <w:r w:rsidR="003D1005" w:rsidRPr="00DB58BF">
        <w:t xml:space="preserve"> </w:t>
      </w:r>
      <w:proofErr w:type="spellStart"/>
      <w:r w:rsidR="003D1005" w:rsidRPr="00DB58BF">
        <w:t>th</w:t>
      </w:r>
      <w:r w:rsidR="004D5568" w:rsidRPr="00DB58BF">
        <w:t>ese</w:t>
      </w:r>
      <w:proofErr w:type="spellEnd"/>
      <w:r w:rsidR="004D5568" w:rsidRPr="00DB58BF">
        <w:t xml:space="preserve"> </w:t>
      </w:r>
      <w:proofErr w:type="spellStart"/>
      <w:r w:rsidR="004D5568" w:rsidRPr="00DB58BF">
        <w:t>can</w:t>
      </w:r>
      <w:proofErr w:type="spellEnd"/>
      <w:r w:rsidR="004D5568" w:rsidRPr="00DB58BF">
        <w:t xml:space="preserve"> lead </w:t>
      </w:r>
      <w:proofErr w:type="spellStart"/>
      <w:r w:rsidR="004D5568" w:rsidRPr="00DB58BF">
        <w:t>to</w:t>
      </w:r>
      <w:proofErr w:type="spellEnd"/>
      <w:r w:rsidR="004D5568" w:rsidRPr="00DB58BF">
        <w:t xml:space="preserve"> </w:t>
      </w:r>
      <w:proofErr w:type="spellStart"/>
      <w:r w:rsidR="00C12C88" w:rsidRPr="00DB58BF">
        <w:t>i</w:t>
      </w:r>
      <w:r w:rsidR="003D1005" w:rsidRPr="00DB58BF">
        <w:t>ncreased</w:t>
      </w:r>
      <w:proofErr w:type="spellEnd"/>
      <w:r w:rsidR="003D1005" w:rsidRPr="00DB58BF">
        <w:t xml:space="preserve"> </w:t>
      </w:r>
      <w:proofErr w:type="spellStart"/>
      <w:r w:rsidR="003D1005" w:rsidRPr="00DB58BF">
        <w:t>morbidity</w:t>
      </w:r>
      <w:proofErr w:type="spellEnd"/>
      <w:r w:rsidR="003D1005" w:rsidRPr="00DB58BF">
        <w:t xml:space="preserve"> and </w:t>
      </w:r>
      <w:proofErr w:type="spellStart"/>
      <w:r w:rsidR="003D1005" w:rsidRPr="00DB58BF">
        <w:t>mortality</w:t>
      </w:r>
      <w:proofErr w:type="spellEnd"/>
      <w:r w:rsidR="00C12C88" w:rsidRPr="00DB58BF">
        <w:t xml:space="preserve">, </w:t>
      </w:r>
      <w:proofErr w:type="spellStart"/>
      <w:r w:rsidR="00C12C88" w:rsidRPr="00DB58BF">
        <w:t>especially</w:t>
      </w:r>
      <w:proofErr w:type="spellEnd"/>
      <w:r w:rsidR="00C12C88" w:rsidRPr="00DB58BF">
        <w:t xml:space="preserve"> in </w:t>
      </w:r>
      <w:proofErr w:type="spellStart"/>
      <w:r w:rsidR="003D1005" w:rsidRPr="00DB58BF">
        <w:t>older</w:t>
      </w:r>
      <w:proofErr w:type="spellEnd"/>
      <w:r w:rsidR="003D1005" w:rsidRPr="00DB58BF">
        <w:t xml:space="preserve"> </w:t>
      </w:r>
      <w:proofErr w:type="spellStart"/>
      <w:r w:rsidR="003D1005" w:rsidRPr="00DB58BF">
        <w:t>patients</w:t>
      </w:r>
      <w:proofErr w:type="spellEnd"/>
      <w:r w:rsidR="003D1005" w:rsidRPr="00DB58BF">
        <w:t xml:space="preserve"> </w:t>
      </w:r>
      <w:proofErr w:type="spellStart"/>
      <w:r w:rsidR="003D1005" w:rsidRPr="00DB58BF">
        <w:t>with</w:t>
      </w:r>
      <w:proofErr w:type="spellEnd"/>
      <w:r w:rsidR="003D1005" w:rsidRPr="00DB58BF">
        <w:t xml:space="preserve"> </w:t>
      </w:r>
      <w:proofErr w:type="spellStart"/>
      <w:r w:rsidR="003D1005" w:rsidRPr="00DB58BF">
        <w:t>comorbidities</w:t>
      </w:r>
      <w:proofErr w:type="spellEnd"/>
      <w:r w:rsidR="003D1005" w:rsidRPr="00DB58BF">
        <w:t xml:space="preserve">, </w:t>
      </w:r>
      <w:proofErr w:type="spellStart"/>
      <w:r w:rsidR="003D1005" w:rsidRPr="00DB58BF">
        <w:t>but</w:t>
      </w:r>
      <w:proofErr w:type="spellEnd"/>
      <w:r w:rsidR="003D1005" w:rsidRPr="00DB58BF">
        <w:t xml:space="preserve"> </w:t>
      </w:r>
      <w:proofErr w:type="spellStart"/>
      <w:r w:rsidR="00360DBA" w:rsidRPr="00DB58BF">
        <w:t>harm</w:t>
      </w:r>
      <w:proofErr w:type="spellEnd"/>
      <w:r w:rsidR="003D1005" w:rsidRPr="00DB58BF">
        <w:t xml:space="preserve"> </w:t>
      </w:r>
      <w:proofErr w:type="spellStart"/>
      <w:r w:rsidR="003D1005" w:rsidRPr="00DB58BF">
        <w:t>otherwise</w:t>
      </w:r>
      <w:proofErr w:type="spellEnd"/>
      <w:r w:rsidR="003D1005" w:rsidRPr="00DB58BF">
        <w:t xml:space="preserve"> </w:t>
      </w:r>
      <w:proofErr w:type="spellStart"/>
      <w:r w:rsidR="003D1005" w:rsidRPr="00DB58BF">
        <w:t>healthy</w:t>
      </w:r>
      <w:proofErr w:type="spellEnd"/>
      <w:r w:rsidR="003D1005" w:rsidRPr="00DB58BF">
        <w:t xml:space="preserve"> </w:t>
      </w:r>
      <w:proofErr w:type="spellStart"/>
      <w:r w:rsidR="003D1005" w:rsidRPr="00DB58BF">
        <w:t>individuals</w:t>
      </w:r>
      <w:proofErr w:type="spellEnd"/>
      <w:r w:rsidR="003D1005" w:rsidRPr="00DB58BF">
        <w:t xml:space="preserve"> </w:t>
      </w:r>
      <w:proofErr w:type="spellStart"/>
      <w:r w:rsidR="003D1005" w:rsidRPr="00DB58BF">
        <w:t>too</w:t>
      </w:r>
      <w:proofErr w:type="spellEnd"/>
      <w:r w:rsidR="003D1005" w:rsidRPr="00DB58BF">
        <w:t xml:space="preserve"> </w:t>
      </w:r>
      <w:r w:rsidR="003D1005" w:rsidRPr="00DB58BF">
        <w:fldChar w:fldCharType="begin"/>
      </w:r>
      <w:r w:rsidR="003D1005" w:rsidRPr="00DB58BF">
        <w:instrText xml:space="preserve"> ADDIN ZOTERO_ITEM CSL_CITATION {"citationID":"3mL7tLP6","properties":{"formattedCitation":"[10]","plainCitation":"[10]","noteIndex":0},"citationItems":[{"id":5116,"uris":["http://zotero.org/users/local/L5HAWlIW/items/UJHFR7Q7"],"itemData":{"id":5116,"type":"article-journal","abstract":"Abstract\n            \n              Objective\n              To identify, appraise, and synthesise the best available evidence on the efficacy of perioperative interventions to reduce postoperative pulmonary complications (PPCs) in adult patients undergoing non-cardiac surgery.\n            \n            \n              Design\n              Systematic review and meta-analysis of randomised controlled trials.\n            \n            \n              Data sources\n              Medline, Embase, CINHAL, and CENTRAL from January 1990 to December 2017.\n            \n            \n              Eligibility criteria\n              Randomised controlled trials investigating short term, protocolised medical interventions conducted before, during, or after non-cardiac surgery were included. Trials with clinical diagnostic criteria for PPC outcomes were included. Studies of surgical technique or physiological or biochemical outcomes were excluded.\n            \n            \n              Data extraction and synthesis\n              Reviewers independently identified studies, extracted data, and assessed the quality of evidence. Meta-analyses were conducted to calculate risk ratios with 95% confidence intervals. Quality of evidence was summarised in accordance with GRADE methods. The primary outcome was the incidence of PPCs. Secondary outcomes were respiratory infection, atelectasis, length of hospital stay, and mortality. Trial sequential analysis was used to investigate the reliability and conclusiveness of available evidence. Adverse effects of interventions were not measured or compared.\n            \n            \n              Results\n              117 trials enrolled 21 940 participants, investigating 11 categories of intervention. 95 randomised controlled trials enrolling 18 062 participants were included in meta-analysis; 22 trials were excluded from meta-analysis because the interventions were not sufficiently similar to be pooled. No high quality evidence was found for interventions to reduce the primary outcome (incidence of PPCs). Seven interventions had low or moderate quality evidence with confidence intervals indicating a probable reduction in PPCs: enhanced recovery pathways (risk ratio 0.35, 95% confidence interval 0.21 to 0.58), prophylactic mucolytics (0.40, 0.23 to 0.67), postoperative continuous positive airway pressure ventilation (0.49, 0.24 to 0.99), lung protective intraoperative ventilation (0.52, 0.30 to 0.88), prophylactic respiratory physiotherapy (0.55, 0.32 to 0.93), epidural analgesia (0.77, 0.65 to 0.92), and goal directed haemodynamic therapy (0.87, 0.77 to 0.98). Moderate quality evidence showed no benefit for incentive spirometry in preventing PPCs. Trial sequential analysis adjustment confidently supported a relative risk reduction of 25% in PPCs for prophylactic respiratory physiotherapy, epidural analgesia, enhanced recovery pathways, and goal directed haemodynamic therapies. Insufficient data were available to support or refute equivalent relative risk reductions for other interventions.\n            \n            \n              Conclusions\n              Predominantly low quality evidence favours multiple perioperative PPC reduction strategies. Clinicians may choose to reassess their perioperative care pathways, but the results indicate that new trials with a low risk of bias are needed to obtain conclusive evidence of efficacy for many of these interventions.\n            \n            \n              Study registration\n              Prospero CRD42016035662.","container-title":"BMJ","DOI":"10.1136/bmj.m540","ISSN":"1756-1833","journalAbbreviation":"BMJ","language":"en","page":"m540","source":"DOI.org (Crossref)","title":"Perioperative interventions for prevention of postoperative pulmonary complications: systematic review and meta-analysis","title-short":"Perioperative interventions for prevention of postoperative pulmonary complications","author":[{"family":"Odor","given":"Peter M"},{"family":"Bampoe","given":"Sohail"},{"family":"Gilhooly","given":"David"},{"family":"Creagh-Brown","given":"Benedict"},{"family":"Moonesinghe","given":"S Ramani"}],"issued":{"date-parts":[["2020",3,11]]}}}],"schema":"https://github.com/citation-style-language/schema/raw/master/csl-citation.json"} </w:instrText>
      </w:r>
      <w:r w:rsidR="003D1005" w:rsidRPr="00DB58BF">
        <w:fldChar w:fldCharType="separate"/>
      </w:r>
      <w:r w:rsidR="003D1005" w:rsidRPr="00DB58BF">
        <w:rPr>
          <w:rFonts w:cs="Times New Roman"/>
        </w:rPr>
        <w:t>[10]</w:t>
      </w:r>
      <w:r w:rsidR="003D1005" w:rsidRPr="00DB58BF">
        <w:fldChar w:fldCharType="end"/>
      </w:r>
      <w:r w:rsidR="003D1005" w:rsidRPr="00DB58BF">
        <w:t>.</w:t>
      </w:r>
      <w:r w:rsidR="00C12C88" w:rsidRPr="00DB58BF">
        <w:t xml:space="preserve"> </w:t>
      </w:r>
      <w:r w:rsidR="00575671" w:rsidRPr="00DB58BF">
        <w:rPr>
          <w:lang w:val="en-US"/>
        </w:rPr>
        <w:t>Postoperative pulmonary complications (PPCs) are among the most frequent perioperative complications, with prevalence estimates ranging from 9% to 40%, depending on the definition used, on patient and surgical factors</w:t>
      </w:r>
      <w:r w:rsidR="00C12C88" w:rsidRPr="00DB58BF">
        <w:rPr>
          <w:lang w:val="en-US"/>
        </w:rPr>
        <w:t xml:space="preserve"> </w:t>
      </w:r>
      <w:r w:rsidR="00575671" w:rsidRPr="00DB58BF">
        <w:rPr>
          <w:lang w:val="en-US"/>
        </w:rPr>
        <w:fldChar w:fldCharType="begin"/>
      </w:r>
      <w:r w:rsidR="003D1005" w:rsidRPr="00DB58BF">
        <w:rPr>
          <w:lang w:val="en-US"/>
        </w:rPr>
        <w:instrText xml:space="preserve"> ADDIN ZOTERO_ITEM CSL_CITATION {"citationID":"1gLDiyyG","properties":{"formattedCitation":"[11]","plainCitation":"[11]","noteIndex":0},"citationItems":[{"id":1,"uris":["http://zotero.org/users/local/L5HAWlIW/items/UMC44H9J"],"itemData":{"id":1,"type":"article-journal","container-title":"British Journal of Anaesthesia","DOI":"10.1016/j.bja.2018.02.007","ISSN":"00070912","issue":"5","journalAbbreviation":"British Journal of Anaesthesia","language":"en","note":"number: 5","page":"1066-1079","source":"DOI.org (Crossref)","title":"A systematic review and consensus definitions for standardised end-points in perioperative medicine: pulmonary complications","title-short":"A systematic review and consensus definitions for standardised end-points in perioperative medicine","volume":"120","author":[{"family":"Abbott","given":"T.E.F."},{"family":"Fowler","given":"A.J."},{"family":"Pelosi","given":"P."},{"family":"Gama de Abreu","given":"M."},{"family":"Møller","given":"A.M."},{"family":"Canet","given":"J."},{"family":"Creagh-Brown","given":"B."},{"family":"Mythen","given":"M."},{"family":"Gin","given":"T."},{"family":"Lalu","given":"M.M."},{"family":"Futier","given":"E."},{"family":"Grocott","given":"M.P."},{"family":"Schultz","given":"M.J."},{"family":"Pearse","given":"R.M."},{"family":"Myles","given":"P."},{"family":"Gan","given":"T.J."},{"family":"Kurz","given":"A."},{"family":"Peyton","given":"P."},{"family":"Sessler","given":"D."},{"family":"Tramèr","given":"M."},{"family":"Cyna","given":"A."},{"family":"De Oliveira","given":"G.S."},{"family":"Wu","given":"C."},{"family":"Jensen","given":"M."},{"family":"Kehlet","given":"H."},{"family":"Botti","given":"M."},{"family":"Boney","given":"O."},{"family":"Haller","given":"G."},{"family":"Grocott","given":"M."},{"family":"Cook","given":"T."},{"family":"Fleisher","given":"L."},{"family":"Neuman","given":"M."},{"family":"Story","given":"D."},{"family":"Gruen","given":"R."},{"family":"Bampoe","given":"S."},{"family":"Evered","given":"Lis"},{"family":"Scott","given":"D."},{"family":"Silbert","given":"B."},{"family":"Dijk","given":"D.","non-dropping-particle":"van"},{"family":"Kalkman","given":"C."},{"family":"Chan","given":"M."},{"family":"Grocott","given":"H."},{"family":"Eckenhoff","given":"R."},{"family":"Rasmussen","given":"L."},{"family":"Eriksson","given":"L."},{"family":"Beattie","given":"S."},{"family":"Wijeysundera","given":"D."},{"family":"Landoni","given":"G."},{"family":"Leslie","given":"K."},{"family":"Biccard","given":"B."},{"family":"Howell","given":"S."},{"family":"Nagele","given":"P."},{"family":"Richards","given":"T."},{"family":"Lamy","given":"A."},{"family":"Gabreu","given":"M."},{"family":"Klein","given":"A."},{"family":"Corcoran","given":"T."},{"family":"Jamie Cooper","given":"D."},{"family":"Dieleman","given":"S."},{"family":"Diouf","given":"E."},{"family":"McIlroy","given":"D."},{"family":"Bellomo","given":"R."},{"family":"Shaw","given":"A."},{"family":"Prowle","given":"J."},{"family":"Karkouti","given":"K."},{"family":"Billings","given":"J."},{"family":"Mazer","given":"D."},{"family":"Jayarajah","given":"M."},{"family":"Murphy","given":"M."},{"family":"Bartoszko","given":"J."},{"family":"Sneyd","given":"R."},{"family":"Morris","given":"S."},{"family":"George","given":"R."},{"family":"Moonesinghe","given":"R."},{"family":"Shulman","given":"M."},{"family":"Lane-Fall","given":"M."},{"family":"Nilsson","given":"U."},{"family":"Stevenson","given":"N."},{"family":"Klei","given":"W.","non-dropping-particle":"van"},{"family":"Cabrini","given":"L."},{"family":"Miller","given":"T."},{"family":"Pace","given":"N."},{"family":"Jackson","given":"S."},{"family":"Buggy","given":"D."},{"family":"Short","given":"T."},{"family":"Riedel","given":"B."},{"family":"Gottumukkala","given":"V."},{"family":"Alkhaffaf","given":"B."},{"family":"Johnson","given":"M."}],"issued":{"date-parts":[["2018",5]]}}}],"schema":"https://github.com/citation-style-language/schema/raw/master/csl-citation.json"} </w:instrText>
      </w:r>
      <w:r w:rsidR="00575671" w:rsidRPr="00DB58BF">
        <w:rPr>
          <w:lang w:val="en-US"/>
        </w:rPr>
        <w:fldChar w:fldCharType="separate"/>
      </w:r>
      <w:r w:rsidR="003D1005" w:rsidRPr="00DB58BF">
        <w:rPr>
          <w:rFonts w:cs="Times New Roman"/>
        </w:rPr>
        <w:t>[11]</w:t>
      </w:r>
      <w:r w:rsidR="00575671" w:rsidRPr="00DB58BF">
        <w:rPr>
          <w:lang w:val="en-US"/>
        </w:rPr>
        <w:fldChar w:fldCharType="end"/>
      </w:r>
      <w:r w:rsidR="00575671" w:rsidRPr="00DB58BF">
        <w:rPr>
          <w:lang w:val="en-US"/>
        </w:rPr>
        <w:t xml:space="preserve">. </w:t>
      </w:r>
      <w:r w:rsidR="00B8520D" w:rsidRPr="00DB58BF">
        <w:rPr>
          <w:lang w:val="en-US"/>
        </w:rPr>
        <w:t>To enhance outcome measurement in clinical trials, a consensus definition of PPCs was established. It encompasses respiratory conditions with common pathophysiological mechanisms—pulmonary collapse and airway contamination—such as atelectasis, pneumonia, ARDS, and aspiration</w:t>
      </w:r>
      <w:r w:rsidR="00C72486" w:rsidRPr="00DB58BF">
        <w:rPr>
          <w:lang w:val="en-US"/>
        </w:rPr>
        <w:t xml:space="preserve"> </w:t>
      </w:r>
      <w:r w:rsidR="00B8520D" w:rsidRPr="00DB58BF">
        <w:rPr>
          <w:lang w:val="en-US"/>
        </w:rPr>
        <w:fldChar w:fldCharType="begin"/>
      </w:r>
      <w:r w:rsidR="003D1005" w:rsidRPr="00DB58BF">
        <w:rPr>
          <w:lang w:val="en-US"/>
        </w:rPr>
        <w:instrText xml:space="preserve"> ADDIN ZOTERO_ITEM CSL_CITATION {"citationID":"hXXfmPfa","properties":{"formattedCitation":"[11]","plainCitation":"[11]","noteIndex":0},"citationItems":[{"id":1,"uris":["http://zotero.org/users/local/L5HAWlIW/items/UMC44H9J"],"itemData":{"id":1,"type":"article-journal","container-title":"British Journal of Anaesthesia","DOI":"10.1016/j.bja.2018.02.007","ISSN":"00070912","issue":"5","journalAbbreviation":"British Journal of Anaesthesia","language":"en","note":"number: 5","page":"1066-1079","source":"DOI.org (Crossref)","title":"A systematic review and consensus definitions for standardised end-points in perioperative medicine: pulmonary complications","title-short":"A systematic review and consensus definitions for standardised end-points in perioperative medicine","volume":"120","author":[{"family":"Abbott","given":"T.E.F."},{"family":"Fowler","given":"A.J."},{"family":"Pelosi","given":"P."},{"family":"Gama de Abreu","given":"M."},{"family":"Møller","given":"A.M."},{"family":"Canet","given":"J."},{"family":"Creagh-Brown","given":"B."},{"family":"Mythen","given":"M."},{"family":"Gin","given":"T."},{"family":"Lalu","given":"M.M."},{"family":"Futier","given":"E."},{"family":"Grocott","given":"M.P."},{"family":"Schultz","given":"M.J."},{"family":"Pearse","given":"R.M."},{"family":"Myles","given":"P."},{"family":"Gan","given":"T.J."},{"family":"Kurz","given":"A."},{"family":"Peyton","given":"P."},{"family":"Sessler","given":"D."},{"family":"Tramèr","given":"M."},{"family":"Cyna","given":"A."},{"family":"De Oliveira","given":"G.S."},{"family":"Wu","given":"C."},{"family":"Jensen","given":"M."},{"family":"Kehlet","given":"H."},{"family":"Botti","given":"M."},{"family":"Boney","given":"O."},{"family":"Haller","given":"G."},{"family":"Grocott","given":"M."},{"family":"Cook","given":"T."},{"family":"Fleisher","given":"L."},{"family":"Neuman","given":"M."},{"family":"Story","given":"D."},{"family":"Gruen","given":"R."},{"family":"Bampoe","given":"S."},{"family":"Evered","given":"Lis"},{"family":"Scott","given":"D."},{"family":"Silbert","given":"B."},{"family":"Dijk","given":"D.","non-dropping-particle":"van"},{"family":"Kalkman","given":"C."},{"family":"Chan","given":"M."},{"family":"Grocott","given":"H."},{"family":"Eckenhoff","given":"R."},{"family":"Rasmussen","given":"L."},{"family":"Eriksson","given":"L."},{"family":"Beattie","given":"S."},{"family":"Wijeysundera","given":"D."},{"family":"Landoni","given":"G."},{"family":"Leslie","given":"K."},{"family":"Biccard","given":"B."},{"family":"Howell","given":"S."},{"family":"Nagele","given":"P."},{"family":"Richards","given":"T."},{"family":"Lamy","given":"A."},{"family":"Gabreu","given":"M."},{"family":"Klein","given":"A."},{"family":"Corcoran","given":"T."},{"family":"Jamie Cooper","given":"D."},{"family":"Dieleman","given":"S."},{"family":"Diouf","given":"E."},{"family":"McIlroy","given":"D."},{"family":"Bellomo","given":"R."},{"family":"Shaw","given":"A."},{"family":"Prowle","given":"J."},{"family":"Karkouti","given":"K."},{"family":"Billings","given":"J."},{"family":"Mazer","given":"D."},{"family":"Jayarajah","given":"M."},{"family":"Murphy","given":"M."},{"family":"Bartoszko","given":"J."},{"family":"Sneyd","given":"R."},{"family":"Morris","given":"S."},{"family":"George","given":"R."},{"family":"Moonesinghe","given":"R."},{"family":"Shulman","given":"M."},{"family":"Lane-Fall","given":"M."},{"family":"Nilsson","given":"U."},{"family":"Stevenson","given":"N."},{"family":"Klei","given":"W.","non-dropping-particle":"van"},{"family":"Cabrini","given":"L."},{"family":"Miller","given":"T."},{"family":"Pace","given":"N."},{"family":"Jackson","given":"S."},{"family":"Buggy","given":"D."},{"family":"Short","given":"T."},{"family":"Riedel","given":"B."},{"family":"Gottumukkala","given":"V."},{"family":"Alkhaffaf","given":"B."},{"family":"Johnson","given":"M."}],"issued":{"date-parts":[["2018",5]]}}}],"schema":"https://github.com/citation-style-language/schema/raw/master/csl-citation.json"} </w:instrText>
      </w:r>
      <w:r w:rsidR="00B8520D" w:rsidRPr="00DB58BF">
        <w:rPr>
          <w:lang w:val="en-US"/>
        </w:rPr>
        <w:fldChar w:fldCharType="separate"/>
      </w:r>
      <w:r w:rsidR="003D1005" w:rsidRPr="00DB58BF">
        <w:rPr>
          <w:rFonts w:cs="Times New Roman"/>
        </w:rPr>
        <w:t>[11]</w:t>
      </w:r>
      <w:r w:rsidR="00B8520D" w:rsidRPr="00DB58BF">
        <w:rPr>
          <w:lang w:val="en-US"/>
        </w:rPr>
        <w:fldChar w:fldCharType="end"/>
      </w:r>
      <w:r w:rsidR="00B8520D" w:rsidRPr="00DB58BF">
        <w:rPr>
          <w:lang w:val="en-US"/>
        </w:rPr>
        <w:t>.</w:t>
      </w:r>
    </w:p>
    <w:p w14:paraId="47C1CD2D" w14:textId="2E5C681B" w:rsidR="005E2F81" w:rsidRPr="00DB58BF" w:rsidRDefault="007A12DC" w:rsidP="006D239E">
      <w:pPr>
        <w:rPr>
          <w:lang w:val="en-US"/>
        </w:rPr>
      </w:pPr>
      <w:r w:rsidRPr="00DB58BF">
        <w:rPr>
          <w:lang w:val="en-US"/>
        </w:rPr>
        <w:t>There are existing evidence that f</w:t>
      </w:r>
      <w:r w:rsidR="00BF76F4" w:rsidRPr="00DB58BF">
        <w:rPr>
          <w:lang w:val="en-US"/>
        </w:rPr>
        <w:t xml:space="preserve">ollowing a </w:t>
      </w:r>
      <w:r w:rsidR="00251843" w:rsidRPr="00DB58BF">
        <w:rPr>
          <w:lang w:val="en-US"/>
        </w:rPr>
        <w:t xml:space="preserve">perioperative </w:t>
      </w:r>
      <w:r w:rsidR="00BF76F4" w:rsidRPr="00DB58BF">
        <w:rPr>
          <w:lang w:val="en-US"/>
        </w:rPr>
        <w:t>lung-protective ventilation approach may reduce the incidence of PPCs</w:t>
      </w:r>
      <w:r w:rsidRPr="00DB58BF">
        <w:rPr>
          <w:lang w:val="en-US"/>
        </w:rPr>
        <w:t xml:space="preserve"> </w:t>
      </w:r>
      <w:r w:rsidR="0022730B" w:rsidRPr="00DB58BF">
        <w:rPr>
          <w:lang w:val="en-US"/>
        </w:rPr>
        <w:fldChar w:fldCharType="begin"/>
      </w:r>
      <w:r w:rsidR="003D1005" w:rsidRPr="00DB58BF">
        <w:rPr>
          <w:lang w:val="en-US"/>
        </w:rPr>
        <w:instrText xml:space="preserve"> ADDIN ZOTERO_ITEM CSL_CITATION {"citationID":"nNDWiYAU","properties":{"formattedCitation":"[10,12]","plainCitation":"[10,12]","noteIndex":0},"citationItems":[{"id":5116,"uris":["http://zotero.org/users/local/L5HAWlIW/items/UJHFR7Q7"],"itemData":{"id":5116,"type":"article-journal","abstract":"Abstract\n            \n              Objective\n              To identify, appraise, and synthesise the best available evidence on the efficacy of perioperative interventions to reduce postoperative pulmonary complications (PPCs) in adult patients undergoing non-cardiac surgery.\n            \n            \n              Design\n              Systematic review and meta-analysis of randomised controlled trials.\n            \n            \n              Data sources\n              Medline, Embase, CINHAL, and CENTRAL from January 1990 to December 2017.\n            \n            \n              Eligibility criteria\n              Randomised controlled trials investigating short term, protocolised medical interventions conducted before, during, or after non-cardiac surgery were included. Trials with clinical diagnostic criteria for PPC outcomes were included. Studies of surgical technique or physiological or biochemical outcomes were excluded.\n            \n            \n              Data extraction and synthesis\n              Reviewers independently identified studies, extracted data, and assessed the quality of evidence. Meta-analyses were conducted to calculate risk ratios with 95% confidence intervals. Quality of evidence was summarised in accordance with GRADE methods. The primary outcome was the incidence of PPCs. Secondary outcomes were respiratory infection, atelectasis, length of hospital stay, and mortality. Trial sequential analysis was used to investigate the reliability and conclusiveness of available evidence. Adverse effects of interventions were not measured or compared.\n            \n            \n              Results\n              117 trials enrolled 21 940 participants, investigating 11 categories of intervention. 95 randomised controlled trials enrolling 18 062 participants were included in meta-analysis; 22 trials were excluded from meta-analysis because the interventions were not sufficiently similar to be pooled. No high quality evidence was found for interventions to reduce the primary outcome (incidence of PPCs). Seven interventions had low or moderate quality evidence with confidence intervals indicating a probable reduction in PPCs: enhanced recovery pathways (risk ratio 0.35, 95% confidence interval 0.21 to 0.58), prophylactic mucolytics (0.40, 0.23 to 0.67), postoperative continuous positive airway pressure ventilation (0.49, 0.24 to 0.99), lung protective intraoperative ventilation (0.52, 0.30 to 0.88), prophylactic respiratory physiotherapy (0.55, 0.32 to 0.93), epidural analgesia (0.77, 0.65 to 0.92), and goal directed haemodynamic therapy (0.87, 0.77 to 0.98). Moderate quality evidence showed no benefit for incentive spirometry in preventing PPCs. Trial sequential analysis adjustment confidently supported a relative risk reduction of 25% in PPCs for prophylactic respiratory physiotherapy, epidural analgesia, enhanced recovery pathways, and goal directed haemodynamic therapies. Insufficient data were available to support or refute equivalent relative risk reductions for other interventions.\n            \n            \n              Conclusions\n              Predominantly low quality evidence favours multiple perioperative PPC reduction strategies. Clinicians may choose to reassess their perioperative care pathways, but the results indicate that new trials with a low risk of bias are needed to obtain conclusive evidence of efficacy for many of these interventions.\n            \n            \n              Study registration\n              Prospero CRD42016035662.","container-title":"BMJ","DOI":"10.1136/bmj.m540","ISSN":"1756-1833","journalAbbreviation":"BMJ","language":"en","page":"m540","source":"DOI.org (Crossref)","title":"Perioperative interventions for prevention of postoperative pulmonary complications: systematic review and meta-analysis","title-short":"Perioperative interventions for prevention of postoperative pulmonary complications","author":[{"family":"Odor","given":"Peter M"},{"family":"Bampoe","given":"Sohail"},{"family":"Gilhooly","given":"David"},{"family":"Creagh-Brown","given":"Benedict"},{"family":"Moonesinghe","given":"S Ramani"}],"issued":{"date-parts":[["2020",3,11]]}}},{"id":5104,"uris":["http://zotero.org/users/local/L5HAWlIW/items/2W4LCRII"],"itemData":{"id":5104,"type":"article-journal","container-title":"British Journal of Anaesthesia","DOI":"10.1016/j.bja.2019.08.017","ISSN":"00070912","issue":"6","journalAbbreviation":"British Journal of Anaesthesia","language":"en","license":"https://www.elsevier.com/tdm/userlicense/1.0/","page":"898-913","source":"DOI.org (Crossref)","title":"Lung-protective ventilation for the surgical patient: international expert panel-based consensus recommendations","title-short":"Lung-protective ventilation for the surgical patient","volume":"123","author":[{"family":"Young","given":"Christopher C."},{"family":"Harris","given":"Erica M."},{"family":"Vacchiano","given":"Charles"},{"family":"Bodnar","given":"Stephan"},{"family":"Bukowy","given":"Brooks"},{"family":"Elliott","given":"R. Ryland D."},{"family":"Migliarese","given":"Jaclyn"},{"family":"Ragains","given":"Chad"},{"family":"Trethewey","given":"Brittany"},{"family":"Woodward","given":"Amanda"},{"family":"Gama De Abreu","given":"Marcelo"},{"family":"Girard","given":"Martin"},{"family":"Futier","given":"Emmanuel"},{"family":"Mulier","given":"Jan P."},{"family":"Pelosi","given":"Paolo"},{"family":"Sprung","given":"Juraj"}],"issued":{"date-parts":[["2019",12]]}}}],"schema":"https://github.com/citation-style-language/schema/raw/master/csl-citation.json"} </w:instrText>
      </w:r>
      <w:r w:rsidR="0022730B" w:rsidRPr="00DB58BF">
        <w:rPr>
          <w:lang w:val="en-US"/>
        </w:rPr>
        <w:fldChar w:fldCharType="separate"/>
      </w:r>
      <w:r w:rsidR="003D1005" w:rsidRPr="00DB58BF">
        <w:rPr>
          <w:rFonts w:cs="Times New Roman"/>
        </w:rPr>
        <w:t>[10,12]</w:t>
      </w:r>
      <w:r w:rsidR="0022730B" w:rsidRPr="00DB58BF">
        <w:rPr>
          <w:lang w:val="en-US"/>
        </w:rPr>
        <w:fldChar w:fldCharType="end"/>
      </w:r>
      <w:r w:rsidR="00D5482D" w:rsidRPr="00DB58BF">
        <w:rPr>
          <w:lang w:val="en-US"/>
        </w:rPr>
        <w:t>.</w:t>
      </w:r>
      <w:r w:rsidR="00174A9D" w:rsidRPr="00DB58BF">
        <w:rPr>
          <w:lang w:val="en-US"/>
        </w:rPr>
        <w:t xml:space="preserve"> </w:t>
      </w:r>
      <w:r w:rsidR="00C07903" w:rsidRPr="00DB58BF">
        <w:rPr>
          <w:lang w:val="en-US"/>
        </w:rPr>
        <w:t>In addition to low tidal volumes (VT = 6–8 mL/kg of ideal body weight), applying PEEP is a</w:t>
      </w:r>
      <w:r w:rsidR="00251843" w:rsidRPr="00DB58BF">
        <w:rPr>
          <w:lang w:val="en-US"/>
        </w:rPr>
        <w:t>n important</w:t>
      </w:r>
      <w:r w:rsidR="00C07903" w:rsidRPr="00DB58BF">
        <w:rPr>
          <w:lang w:val="en-US"/>
        </w:rPr>
        <w:t xml:space="preserve"> component of lung-protective ventilation strategies during general anesthesia and in the management of ARDS</w:t>
      </w:r>
      <w:r w:rsidR="00382D13" w:rsidRPr="00DB58BF">
        <w:rPr>
          <w:lang w:val="en-US"/>
        </w:rPr>
        <w:t xml:space="preserve"> </w:t>
      </w:r>
      <w:r w:rsidR="00382D13" w:rsidRPr="00DB58BF">
        <w:rPr>
          <w:lang w:val="en-US"/>
        </w:rPr>
        <w:fldChar w:fldCharType="begin"/>
      </w:r>
      <w:r w:rsidR="00320A1A" w:rsidRPr="00DB58BF">
        <w:rPr>
          <w:lang w:val="en-US"/>
        </w:rPr>
        <w:instrText xml:space="preserve"> ADDIN ZOTERO_ITEM CSL_CITATION {"citationID":"ONnJrPha","properties":{"formattedCitation":"[1\\uc0\\u8211{}6]","plainCitation":"[1–6]","noteIndex":0},"citationItems":[{"id":147,"uris":["http://zotero.org/users/local/L5HAWlIW/items/A8UQPRVS"],"itemData":{"id":147,"type":"article-journal","abstract":"Editor’s PerspectiveWhat We Already Know about This TopicIn patients with adult respiratory distress syndrome, physiologic tidal volume and positive end-expiratory pressure (PEEP) are protectiveIn patients without lung diseases undergoing mechanical ventilation under general anesthesia, optimal PEEP","container-title":"Anesthesiology","DOI":"10.1097/aln.0000000000002435","issue":"6","note":"publisher: Lippincott Williams and Wilkins","page":"1070-1081","title":"Individual Positive End-expiratory Pressure Settings Optimize Intraoperative Mechanical Ventilation and Reduce Postoperative Atelectasis","volume":"129","author":[{"family":"Pereira","given":"Sérgio; Tucci","suffix":"Mauro R.; Morais, Caio C. A.; Simões, Claudia Marquez; Tonelotto, Bruno Francisco Freitas; Pompeo, Michel S.; Kay, Fernando Uliana; Pelosi, Paolo; Vieira, Joaquim Edson; Amato, Marcelo B. P."}],"issued":{"date-parts":[["2018"]]}}},{"id":33,"uris":["http://zotero.org/users/local/L5HAWlIW/items/7QXNHMZD"],"itemData":{"id":33,"type":"article-journal","container-title":"Turkish Journal of Anesthesia and Reanimation","DOI":"10.5152/TJAR.2016.001","ISSN":"21490937, 2149276X","issue":"4","journalAbbreviation":"Turk J Anaesth Reanim","note":"number: 4","page":"161-162","source":"DOI.org (Crossref)","title":"Optimum PEEP During Anesthesia and in Intensive Care is a Compromise but is Better than Nothing","volume":"44","author":[{"family":"Hedenstierna","given":"Goran"}],"issued":{"date-parts":[["2016",8,11]]}}},{"id":187,"uris":["http://zotero.org/users/local/L5HAWlIW/items/8MR6RMK8"],"itemData":{"id":187,"type":"article-journal","abstract":"This study aimed to observe the effects of lung-protective ventilation (LPV) on oxygenation index (OI) and postoperative pulmonary complications (PPCs) after laparoscopic radical gastrectomy in middle-aged and elderly patients. A total of 120 patients who were scheduled to undergo laparoscopic radical gastrectomy with an expected time of &gt;3 h were randomly divided into conventional ventilation (CV group) with tidal volume (TV) of 10 mL/kg without positive end-expiratory pressure (PEEP), and lung-protective ventilation (PV group) with 7 mL/kg TV and personal level of PEEP with regular recruitment maneuver every 30 min. Measurements of OI, modified clinical pulmonary infection score (mCPIS), and PPCs were assessed during the perioperative period. Fifty-seven patients in the CV group and 58 in the PV group participated in the data analysis. Patients in the PV group showed better pulmonary dynamic compliance, OI, and peripheral capillary oxygen saturation during and after surgery. The mCPIS was significantly lower in the PV group than in the CV group after surgery. The incidence rate of PPCs was lower in the PV group than in the CV group and the difference was significant in patients whose ventilation time was longer than 6 h in both groups. LPV during laparoscopic radical gastrectomy significantly improved pulmonary oxygenation function and reduced postoperative mCPIS and the incidence of PPCs during the early period after surgery of middle-aged and elderly patients, especially patients whose mechanical ventilation time was longer than 6 h.","container-title":"Brazilian journal of medical and biological research = Revista brasileira de pesquisas medicas e biologicas","DOI":"10.1590/1414-431x20198523","issue":"6","note":"publisher: Associacao Brasileira de Divulgacao Cientifica","page":"e8523-NA","title":"Effect of intraoperative lung-protective mechanical ventilation on pulmonary oxygenation function and postoperative pulmonary complications after laparoscopic radical gastrectomy.","volume":"52","author":[{"family":"Liu","given":"Jing; Meng","suffix":"Zhipeng; Lv, Ran; Zhang, Yaping; Wang, Gaojian; Xie, Junran"}],"issued":{"date-parts":[["2019"]]}}},{"id":154,"uris":["http://zotero.org/users/local/L5HAWlIW/items/GATNBAU7"],"itemData":{"id":154,"type":"article-journal","abstract":"The distribution of tidal volume (VT) and recruitment was investigated by chest computed tomography (CT) in eight sedated-paralyzed patients with the adult respiratory distress syndrome (ARDS). A CT section was obtained in the supine position at 0, 5, 10, 15, and 20 cm H2O positive end-expiratory pressure (PEEP) and at the corresponding inspiratory plateau pressure (21 +/- 1.8, 26 +/- 1.4, 31 +/- 1.8, 38 +/- 2.1, and 46 +/- 3.2 cm H2O [mean +/- SE]), keeping VT constant. Each CT section was divided along its ventral-dorsal height into 10 equally spaced intervals (levels). Vi(insp) and Vi(exp) were defined as the gas volume for level i (i = 1 to 10) at end-inspiration and at end-expiration, respectively. The following variables were computed at each lung level: (1) distribution of CT section tidal volume (VTct), i.e., the fraction of VT that inflates a given lung level; (2) the plateau-induced and PEEP-induced recruitment, i.e., the amount of lung tissue previously collapsed that inflates at plateau pressu...","container-title":"American journal of respiratory and critical care medicine","DOI":"10.1164/ajrccm.151.6.7767524","issue":"6","note":"publisher: American Thoracic Society","page":"1807-1814","title":"Effects of positive end-expiratory pressure on regional distribution of tidal volume and recruitment in adult respiratory distress syndrome","volume":"151","author":[{"family":"Gattinoni","given":"Luciano; Pelosi","suffix":"Paolo; Crotti, S; Valenza, Franco"}],"issued":{"date-parts":[["1995"]]}}},{"id":184,"uris":["http://zotero.org/users/local/L5HAWlIW/items/ZG8KH7GQ"],"itemData":{"id":184,"type":"article-journal","abstract":"BACKGROUND:“Optimal” positive end-expiratory pressure (PEEP) can be defined as the PEEP that prevents recollapse after a recruitment maneuver, avoids over-distension, and, consequently, leads to optimal lung mechanics at minimal dead space ventilation. In this study, we analyzed the effects of PEEP","container-title":"Anesthesia and analgesia","DOI":"10.1213/01.ane.0000287684.74505.49","issue":"1","note":"publisher: Lippincott Williams and Wilkins","page":"175-181","title":"Compliance and dead space fraction indicate an optimal level of positive end-expiratory pressure after recruitment in anesthetized patients.","volume":"106","author":[{"family":"Maisch","given":"Stefan; Reissmann","suffix":"Hajo; Fuellekrug, Bernd; Weismann, Dieter; Rutkowski, Thomas; Tusman, Gerardo; Bohm, Stephan H."}],"issued":{"date-parts":[["2008"]]}}},{"id":167,"uris":["http://zotero.org/users/local/L5HAWlIW/items/53VQRNW3"],"itemData":{"id":167,"type":"article-journal","abstract":"Applying lung protective mechanical ventilation (LPV) during general anaesthesia even in patients with non-injured lungs is recommended. However, the effects of an individual PEEP-optimisation on respiratory mechanics, oxygenation and their potential correlation with the inflammatory response and postoperative complications have not been evaluated have not been compared to standard LPV in patients undergoing major abdominal surgery. Thirty-nine patients undergoing open radical cystectomy were enrolled in this study. In the study group (SG) optimal PEEP was determined by a decremental titration procedure and defined as the PEEP value resulting the highest static pulmonary compliance. In the control group (CG) PEEP was set to 6 cmH2O. Primary endpoints were intraoperative respiratory mechanics and gas exchange parameters. Secondary outcomes were perioperative procalcitonin kinetics and postoperative pulmonary complications. Optimal PEEP levels (median = 10, range: 8–14 cmH2O), PaO2/FiO2 (451.24 ± 121.78 mmHg vs. 404.15 ± 115.87 mmHg, P = 0.005) and static pulmonary compliance (52.54 ± 13.59 ml cmH2O-1 vs. 45.22 ± 9.13 ml cmH2O-1, P &lt; 0.0001) were significantly higher, while driving pressure (8.26 ± 1.74 cmH2O vs. 9.73 ± 4.02 cmH2O, P &lt; 0.0001) was significantly lower in the SG as compared to the CG. No significant intergroup differences were found in procalcitonin kinetics (P = 0.076). Composite outcome results indicated a non-significant reduction of postoperative complications in the SG. Intraoperative PEEP-optimization resulted in significant improvement in gas exchange and pulmonary mechanics as compared to standard LPV. Whether these have any effect on short and long term outcomes require further investigations. Trial registration: Clinicaltrials.gov, identifier: NCT02931409.","container-title":"Journal of clinical monitoring and computing","DOI":"10.1007/s10877-020-00519-6","issue":"3","note":"publisher: Springer Netherlands","page":"469-482","title":"Effects of intraoperative positive end-expiratory pressure optimization on respiratory mechanics and the inflammatory response: a randomized controlled trial","volume":"35","author":[{"family":"Ruszkai","given":"Zoltán; Kiss","suffix":"Erika; László, Ildikó; Bokrétás, Gergely Péter; Vizserálek, Dóra; Vámossy, Ildikó; Surány, Erika; Buzogány, István; Bajory, Zoltán; Molnár, Zsolt"}],"issued":{"date-parts":[["2020"]]}}}],"schema":"https://github.com/citation-style-language/schema/raw/master/csl-citation.json"} </w:instrText>
      </w:r>
      <w:r w:rsidR="00382D13" w:rsidRPr="00DB58BF">
        <w:rPr>
          <w:lang w:val="en-US"/>
        </w:rPr>
        <w:fldChar w:fldCharType="separate"/>
      </w:r>
      <w:r w:rsidR="00320A1A" w:rsidRPr="00DB58BF">
        <w:rPr>
          <w:rFonts w:cs="Times New Roman"/>
          <w:kern w:val="0"/>
        </w:rPr>
        <w:t>[1–6]</w:t>
      </w:r>
      <w:r w:rsidR="00382D13" w:rsidRPr="00DB58BF">
        <w:rPr>
          <w:lang w:val="en-US"/>
        </w:rPr>
        <w:fldChar w:fldCharType="end"/>
      </w:r>
      <w:r w:rsidR="00D5482D" w:rsidRPr="00DB58BF">
        <w:rPr>
          <w:lang w:val="en-US"/>
        </w:rPr>
        <w:t>.</w:t>
      </w:r>
      <w:r w:rsidR="00EE6B19" w:rsidRPr="00DB58BF">
        <w:rPr>
          <w:lang w:val="en-US"/>
        </w:rPr>
        <w:t xml:space="preserve"> </w:t>
      </w:r>
      <w:r w:rsidR="001B23AD" w:rsidRPr="00DB58BF">
        <w:rPr>
          <w:lang w:val="en-US"/>
        </w:rPr>
        <w:t>Given that an optimal PEEP has yet to be clearly defined, i</w:t>
      </w:r>
      <w:r w:rsidR="0094790F" w:rsidRPr="00DB58BF">
        <w:rPr>
          <w:lang w:val="en-US"/>
        </w:rPr>
        <w:t>ndividualized ventilation strategies have recently gained attention, focusing on setting PEEP based on patient-specific needs and optimizing parameters like driving pressure</w:t>
      </w:r>
      <w:r w:rsidR="00443ECC" w:rsidRPr="00DB58BF">
        <w:rPr>
          <w:lang w:val="en-US"/>
        </w:rPr>
        <w:t>, respiratory compliance, or transpulmonary pressure</w:t>
      </w:r>
      <w:r w:rsidR="0094790F" w:rsidRPr="00DB58BF">
        <w:rPr>
          <w:lang w:val="en-US"/>
        </w:rPr>
        <w:t xml:space="preserve"> to reduce </w:t>
      </w:r>
      <w:r w:rsidR="002B241F" w:rsidRPr="00DB58BF">
        <w:rPr>
          <w:lang w:val="en-US"/>
        </w:rPr>
        <w:t xml:space="preserve">both </w:t>
      </w:r>
      <w:proofErr w:type="spellStart"/>
      <w:r w:rsidR="002B241F" w:rsidRPr="00DB58BF">
        <w:rPr>
          <w:lang w:val="en-US"/>
        </w:rPr>
        <w:t>atelectrauma</w:t>
      </w:r>
      <w:proofErr w:type="spellEnd"/>
      <w:r w:rsidR="002B241F" w:rsidRPr="00DB58BF">
        <w:rPr>
          <w:lang w:val="en-US"/>
        </w:rPr>
        <w:t xml:space="preserve"> and </w:t>
      </w:r>
      <w:r w:rsidR="006220C5" w:rsidRPr="00DB58BF">
        <w:rPr>
          <w:lang w:val="en-US"/>
        </w:rPr>
        <w:t>barotrauma</w:t>
      </w:r>
      <w:r w:rsidR="00197946" w:rsidRPr="00DB58BF">
        <w:rPr>
          <w:lang w:val="en-US"/>
        </w:rPr>
        <w:t xml:space="preserve"> </w:t>
      </w:r>
      <w:r w:rsidR="001A3D09" w:rsidRPr="00DB58BF">
        <w:rPr>
          <w:lang w:val="en-US"/>
        </w:rPr>
        <w:fldChar w:fldCharType="begin"/>
      </w:r>
      <w:r w:rsidR="006235F6" w:rsidRPr="00DB58BF">
        <w:rPr>
          <w:lang w:val="en-US"/>
        </w:rPr>
        <w:instrText xml:space="preserve"> ADDIN ZOTERO_ITEM CSL_CITATION {"citationID":"JzQTdQT1","properties":{"formattedCitation":"[1,13\\uc0\\u8211{}15]","plainCitation":"[1,13–15]","noteIndex":0},"citationItems":[{"id":147,"uris":["http://zotero.org/users/local/L5HAWlIW/items/A8UQPRVS"],"itemData":{"id":147,"type":"article-journal","abstract":"Editor’s PerspectiveWhat We Already Know about This TopicIn patients with adult respiratory distress syndrome, physiologic tidal volume and positive end-expiratory pressure (PEEP) are protectiveIn patients without lung diseases undergoing mechanical ventilation under general anesthesia, optimal PEEP","container-title":"Anesthesiology","DOI":"10.1097/aln.0000000000002435","issue":"6","note":"publisher: Lippincott Williams and Wilkins","page":"1070-1081","title":"Individual Positive End-expiratory Pressure Settings Optimize Intraoperative Mechanical Ventilation and Reduce Postoperative Atelectasis","volume":"129","author":[{"family":"Pereira","given":"Sérgio; Tucci","suffix":"Mauro R.; Morais, Caio C. A.; Simões, Claudia Marquez; Tonelotto, Bruno Francisco Freitas; Pompeo, Michel S.; Kay, Fernando Uliana; Pelosi, Paolo; Vieira, Joaquim Edson; Amato, Marcelo B. P."}],"issued":{"date-parts":[["2018"]]}}},{"id":178,"uris":["http://zotero.org/users/local/L5HAWlIW/items/BNXF362C"],"itemData":{"id":178,"type":"article-journal","abstract":"NA","container-title":"The Lancet. Respiratory medicine","DOI":"10.1016/s2213-2600(18)30024-9","issue":"3","note":"publisher: Elsevier Limited","page":"193-203","title":"Individualised perioperative open-lung approach versus standard protective ventilation in abdominal surgery (iPROVE): a randomised controlled trial.","volume":"6","author":[{"family":"Ferrando","given":"Carlos; Soro","suffix":"Marina; Unzueta, Carmen; Suarez-Sipmann, Fernando; Canet, Jaume; Librero, Julián; Pozo, Natividad; Peiró, Salvador; Llombart, Alicia; León, Irene; India, Inmaculada; Aldecoa, Cesar; Diaz-Cambronero, Oscar; Pestaña, David; Redondo, Francisco J; Garutti, Ignacio; Balust, Jaume; García, Jose Ignacio; Ibáñez, Maite; Granell, M.; Rodríguez, Aurelio; Gallego, Lucía; de la Matta, Manuel; González, Rafael; Brunelli, Andrea; García, Javier Contreras; Rovira, Lucas; Barrios, Francisco; Torres, Vicente; Hernández, Samuel; Gracia, Estefania; Giné, Marta; Garcia, Maria; Garcia, Nuria; Miguel, Lisset; Sánchez, Sergio; Piñeiro, Patricia; Pujol, Roger; García-del-Valle, Santiago; Valdivia, José; Hernández, María; Padrón, Oto; Colás, Ana; Puig, Jaume; Azparren, Gonzalo; Tusman, Gerardo; Villar, Jesús; Belda, Javier; Acosta, Jesús; Aguilar, Gerardo; Alberola, María José; Alcón, Amalia; Alonso, Jose M.; Alonso, María Dolores; Anaya, Rafael; Argente, María Pilar; Agilaga, Marta; Arocas, Blanca; Asensio, Ana; Ayas, Begoña; Ayuso, Mercedes; Balandrón, Victor; Del Barrio, Maria; Bejarano, Natalia; Benítez, Inmaculada; Cabrera, Sergio; Carbonell, José A.; Carramiñana, Albert; Carrizo, Juan; Cegarra, Virginia; Chamorro, Estefanía; Charco, Pedro; Cruz, Patricia; Daviu, Francisco; De Fez, Mario; de Miguel, Angeles; Del Río, Elena; Delgado, Carlos; Díaz, Ruben; Díaz, Susana; Díez, Fernando; Dosdá, Rosa; Duca, Alejandro; Etulain, Ma Justina; Fernández, Carmen; Franco, Tania; Fuentes, Isabel; Gallego, Clara; Gallego-Casilda, Alberto; Galve, Ana Isabel; Garcés, Cristina; García, Mercedes; Garcia, Pablo; Garrigues, Beatriz; Gilabert, Vicente; González, Domingo; Gutierrez, Andrea; Hernández, Inmaculada; Izquierdo, Ana; Jurado, Ana; Katime, Antonio; Llamazares, Eduardo; Lardies, Rosa; Lisbona, Cristina; López-Herrera, Daniel; López, Ramiro; Lozano, Angels; Lozano, Elena; Marcos, José M.; Martín, Silvia; Martínez, Nilda; Martínez, Rocío; Martínez-Pallí, Graciella; Mazzinari, Guido; Miñana, Amanda; Moral, Victoria; Moreno, Tania; Mugarra, Ana; Muñoz, Lorena; Navarro, José I.; Olmedilla, Luis; Olmedo, Jonathan; Ojeda, Nazario; Parera, Ana; Parra, María Asunción; Parrilla, Cristina; Pastor, Ernesto; Peña, Natalia; Pérez, Ana María; Pérez, Jose María; Piqueras, Laura; Rico-Feijoo, Jesús; Rodríguez, Rayco; Román, Javier Ignacio; Romero, Antonio; Romero, Carolina; Romero, Esther; Ruiz, Isabel; Sánchez, Ester; Sandín, Francisco; Serralta, Ferran; Socorro, Tania; Soriano, Laura; Tisner, Manuel; Valencia, Lucía; Valls, Paola; Vaquero, Laura; Varón, Viviana; Vila, María; Villazala, Rubén; Villena, Abigail; Zapatero, Sara"}],"issued":{"date-parts":[["2018"]]}}},{"id":163,"uris":["http://zotero.org/users/local/L5HAWlIW/items/V9KG3S7Z"],"itemData":{"id":163,"type":"article-journal","abstract":"Abstract Background General anaesthesia leads to atelectasis, reduced end-expiratory lung volume (EELV), and diminished arterial oxygenation in obese patients. We hypothesized that a combination of a recruitment manoeuvre (RM) and individualized positive end-expiratory pressure (PEEP) can avoid these effects. Methods Patients with a BMI ≥35 kg m−2 undergoing elective laparoscopic surgery were randomly allocated to mechanical ventilation with a tidal volume of 8 ml kg−1 predicted body weight and (i) an RM followed by individualized PEEP titrated using electrical impedance tomography (PEEPIND) or (ii) no RM and PEEP of 5 cm H2O (PEEP5). Gas exchange, regional ventilation distribution, and EELV (multiple breath nitrogen washout method) were determined before, during, and after anaesthesia. The primary end point was the ratio of arterial partial pressure of oxygen to inspiratory oxygen fraction (PaO2/FiO2). Results For PEEPIND (n=25) and PEEP5 (n=25) arms together, PaO2/FiO2 and EELV decreased by 15 kPa [95% confidence interval (CI) 11–20 kPa, P Conclusions In obese patients, an RM and higher PEEPIND restored EELV, regional ventilation distribution, and oxygenation during anaesthesia, but these differences did not persist after extubation. Therefore, lung protection strategies should include the postoperative period. Clinical trial registration German clinical trials register DRKS00004199, www.who.int/ictrp/network/drks2/en/.","container-title":"British journal of anaesthesia","DOI":"10.1093/bja/aex192","issue":"6","note":"publisher: Oxford University Press","page":"1194-1205","title":"Individualized positive end-expiratory pressure in obese patients during general anaesthesia: a randomized controlled clinical trial using electrical impedance tomography","volume":"119","author":[{"family":"Nestler","given":"C.; Simon","suffix":"P.; Petroff, David; Hammermüller, Sören; Kamrath, D.; Wolf, Samuel J.; Dietrich, Arne; Camilo, Luciana Moisés; Beda, Alessandro; Carvalho, Alysson R.; Giannella-Neto, Antonio; Reske, Andreas W.; Wrigge, Hermann"}],"issued":{"date-parts":[["2017"]]}}},{"id":143,"uris":["http://zotero.org/users/local/L5HAWlIW/items/DLC97TPW"],"itemData":{"id":143,"type":"article-journal","abstract":"For patients undergoing robot-assisted radical prostatectomy, the pneumoperitoneum with a steep Trendelenburg position could worsen intraoperative respiratory mechanics and result in postoperative atelectasis. We investigated the effects of individualized positive end-expiratory pressure (PEEP) on postoperative atelectasis, evaluated using lung ultrasonography. Sixty patients undergoing robot-assisted radical prostatectomy were randomly allocated into two groups. Individualized groups (n = 30) received individualized PEEP determined by a decremental PEEP trial using 20 to 7 cm H2O, aiming at maximizing respiratory compliance, whereas standardized groups (n = 30) received a standardized PEEP of 7 cm H2O during the pneumoperitoneum. Ultrasound examination was performed on 12 sections of thorax, and the lung ultrasound score was measured as 0-3 by considering the number of B lines and the degree of subpleural consolidation. The primary outcome was the difference between the lung ultrasound scores measured before anesthesia induction and just after extubation in the operating room. An increase in the difference means the development of atelectasis. The optimal PEEP in the individualized group was determined as the median (interquartile range) 14 (12-18) cm H2O. Compared with the standardized group, the difference in the lung ultrasound scores was significantly smaller in the individualized group (-0.5 ± 2.7 vs. 6.0 ± 2.9, mean difference -6.53, 95% confidence interval (-8.00 to -5.07), p &lt; 0.001), which means that individualized PEEP was effective to reduce atelectasis. The lung ultrasound score measured after surgery was significantly lower in the individualized group than the standardized group (8.1 ± 5.7 vs. 12.2 ± 4.2, mean difference -4.13, 95% confidence interval (-6.74 to -1.53), p = 0.002). However, the arterial partial pressure of the oxygen/fraction of inspired oxygen levels during the surgery showed no significant time-group interaction between the two groups in repeated-measures analysis of variance (p = 0.145). The incidence of a composite of postoperative respiratory complications was comparable between the two groups. Individualized PEEP determined by maximal respiratory compliance during the pneumoperitoneum and steep Trendelenburg position significantly reduced postoperative atelectasis, as evaluated using lung ultrasonography. However, the clinical significance of this finding should be evaluated by a larger clinical trial.","container-title":"Journal of clinical medicine","DOI":"10.3390/jcm10040850","issue":"4","note":"publisher: Multidisciplinary Digital Publishing Institute (MDPI)","page":"850-NA","title":"The Effect of Ventilation with Individualized Positive End-Expiratory Pressure on Postoperative Atelectasis in Patients Undergoing Robot-Assisted Radical Prostatectomy: A Randomized Controlled Trial.","volume":"10","author":[{"family":"Yoon","given":"Hyun Kyu; Kim","suffix":"Bo Rim; Yoon, Susie; Jeong, Young Hyun; Ku, Ja Hyeon; Kim, Won Ho"}],"issued":{"date-parts":[["2021"]]}}}],"schema":"https://github.com/citation-style-language/schema/raw/master/csl-citation.json"} </w:instrText>
      </w:r>
      <w:r w:rsidR="001A3D09" w:rsidRPr="00DB58BF">
        <w:rPr>
          <w:lang w:val="en-US"/>
        </w:rPr>
        <w:fldChar w:fldCharType="separate"/>
      </w:r>
      <w:r w:rsidR="006235F6" w:rsidRPr="00DB58BF">
        <w:rPr>
          <w:rFonts w:cs="Times New Roman"/>
          <w:kern w:val="0"/>
        </w:rPr>
        <w:t>[1,13–15]</w:t>
      </w:r>
      <w:r w:rsidR="001A3D09" w:rsidRPr="00DB58BF">
        <w:rPr>
          <w:lang w:val="en-US"/>
        </w:rPr>
        <w:fldChar w:fldCharType="end"/>
      </w:r>
      <w:r w:rsidR="00D5482D" w:rsidRPr="00DB58BF">
        <w:rPr>
          <w:lang w:val="en-US"/>
        </w:rPr>
        <w:t>.</w:t>
      </w:r>
      <w:r w:rsidR="00C12C88" w:rsidRPr="00DB58BF">
        <w:rPr>
          <w:lang w:val="en-US"/>
        </w:rPr>
        <w:t xml:space="preserve"> </w:t>
      </w:r>
      <w:proofErr w:type="spellStart"/>
      <w:r w:rsidR="00A16C85" w:rsidRPr="00DB58BF">
        <w:t>However</w:t>
      </w:r>
      <w:proofErr w:type="spellEnd"/>
      <w:r w:rsidR="00A16C85" w:rsidRPr="00DB58BF">
        <w:t xml:space="preserve">, </w:t>
      </w:r>
      <w:proofErr w:type="spellStart"/>
      <w:r w:rsidR="00A16C85" w:rsidRPr="00DB58BF">
        <w:t>whether</w:t>
      </w:r>
      <w:proofErr w:type="spellEnd"/>
      <w:r w:rsidR="00A16C85" w:rsidRPr="00DB58BF">
        <w:t xml:space="preserve"> </w:t>
      </w:r>
      <w:proofErr w:type="spellStart"/>
      <w:r w:rsidR="00A16C85" w:rsidRPr="00DB58BF">
        <w:t>individualized</w:t>
      </w:r>
      <w:proofErr w:type="spellEnd"/>
      <w:r w:rsidR="00A16C85" w:rsidRPr="00DB58BF">
        <w:t xml:space="preserve"> PEEP </w:t>
      </w:r>
      <w:proofErr w:type="spellStart"/>
      <w:r w:rsidR="00A16C85" w:rsidRPr="00DB58BF">
        <w:t>titration</w:t>
      </w:r>
      <w:proofErr w:type="spellEnd"/>
      <w:r w:rsidR="00A16C85" w:rsidRPr="00DB58BF">
        <w:t xml:space="preserve"> </w:t>
      </w:r>
      <w:proofErr w:type="spellStart"/>
      <w:r w:rsidR="00A16C85" w:rsidRPr="00DB58BF">
        <w:t>reduces</w:t>
      </w:r>
      <w:proofErr w:type="spellEnd"/>
      <w:r w:rsidR="00A16C85" w:rsidRPr="00DB58BF">
        <w:t xml:space="preserve"> </w:t>
      </w:r>
      <w:proofErr w:type="spellStart"/>
      <w:r w:rsidR="00A16C85" w:rsidRPr="00DB58BF">
        <w:t>the</w:t>
      </w:r>
      <w:proofErr w:type="spellEnd"/>
      <w:r w:rsidR="00A16C85" w:rsidRPr="00DB58BF">
        <w:t xml:space="preserve"> </w:t>
      </w:r>
      <w:proofErr w:type="spellStart"/>
      <w:r w:rsidR="00A16C85" w:rsidRPr="00DB58BF">
        <w:t>incidence</w:t>
      </w:r>
      <w:proofErr w:type="spellEnd"/>
      <w:r w:rsidR="00A16C85" w:rsidRPr="00DB58BF">
        <w:t xml:space="preserve"> of </w:t>
      </w:r>
      <w:proofErr w:type="spellStart"/>
      <w:r w:rsidR="00A16C85" w:rsidRPr="00DB58BF">
        <w:t>PPCs</w:t>
      </w:r>
      <w:proofErr w:type="spellEnd"/>
      <w:r w:rsidR="00A16C85" w:rsidRPr="00DB58BF">
        <w:t xml:space="preserve"> </w:t>
      </w:r>
      <w:proofErr w:type="spellStart"/>
      <w:r w:rsidR="00A16C85" w:rsidRPr="00DB58BF">
        <w:t>compared</w:t>
      </w:r>
      <w:proofErr w:type="spellEnd"/>
      <w:r w:rsidR="00A16C85" w:rsidRPr="00DB58BF">
        <w:t xml:space="preserve"> </w:t>
      </w:r>
      <w:proofErr w:type="spellStart"/>
      <w:r w:rsidR="00A16C85" w:rsidRPr="00DB58BF">
        <w:t>with</w:t>
      </w:r>
      <w:proofErr w:type="spellEnd"/>
      <w:r w:rsidR="00A16C85" w:rsidRPr="00DB58BF">
        <w:t xml:space="preserve"> </w:t>
      </w:r>
      <w:proofErr w:type="spellStart"/>
      <w:r w:rsidR="00A16C85" w:rsidRPr="00DB58BF">
        <w:t>conventional</w:t>
      </w:r>
      <w:proofErr w:type="spellEnd"/>
      <w:r w:rsidR="00A16C85" w:rsidRPr="00DB58BF">
        <w:t xml:space="preserve"> </w:t>
      </w:r>
      <w:proofErr w:type="spellStart"/>
      <w:r w:rsidR="00A16C85" w:rsidRPr="00DB58BF">
        <w:t>settings</w:t>
      </w:r>
      <w:proofErr w:type="spellEnd"/>
      <w:r w:rsidR="00A16C85" w:rsidRPr="00DB58BF">
        <w:t xml:space="preserve"> </w:t>
      </w:r>
      <w:proofErr w:type="spellStart"/>
      <w:r w:rsidR="00A16C85" w:rsidRPr="00DB58BF">
        <w:t>remains</w:t>
      </w:r>
      <w:proofErr w:type="spellEnd"/>
      <w:r w:rsidR="00A16C85" w:rsidRPr="00DB58BF">
        <w:t xml:space="preserve"> </w:t>
      </w:r>
      <w:proofErr w:type="spellStart"/>
      <w:r w:rsidR="00A16C85" w:rsidRPr="00DB58BF">
        <w:t>uncertain</w:t>
      </w:r>
      <w:proofErr w:type="spellEnd"/>
      <w:r w:rsidR="00A16C85" w:rsidRPr="00DB58BF">
        <w:t xml:space="preserve">, and more </w:t>
      </w:r>
      <w:proofErr w:type="spellStart"/>
      <w:r w:rsidR="00A16C85" w:rsidRPr="00DB58BF">
        <w:t>robust</w:t>
      </w:r>
      <w:proofErr w:type="spellEnd"/>
      <w:r w:rsidR="00A16C85" w:rsidRPr="00DB58BF">
        <w:t xml:space="preserve"> </w:t>
      </w:r>
      <w:proofErr w:type="spellStart"/>
      <w:r w:rsidR="00A16C85" w:rsidRPr="00DB58BF">
        <w:t>evidence</w:t>
      </w:r>
      <w:proofErr w:type="spellEnd"/>
      <w:r w:rsidR="00A16C85" w:rsidRPr="00DB58BF">
        <w:t xml:space="preserve"> is </w:t>
      </w:r>
      <w:proofErr w:type="spellStart"/>
      <w:r w:rsidR="00A16C85" w:rsidRPr="00DB58BF">
        <w:t>needed</w:t>
      </w:r>
      <w:proofErr w:type="spellEnd"/>
      <w:r w:rsidR="00124CFA" w:rsidRPr="00DB58BF">
        <w:t xml:space="preserve"> </w:t>
      </w:r>
      <w:r w:rsidR="00124CFA" w:rsidRPr="00DB58BF">
        <w:fldChar w:fldCharType="begin"/>
      </w:r>
      <w:r w:rsidR="00124CFA" w:rsidRPr="00DB58BF">
        <w:instrText xml:space="preserve"> ADDIN ZOTERO_ITEM CSL_CITATION {"citationID":"6IfHSFa3","properties":{"formattedCitation":"[14,16,17]","plainCitation":"[14,16,17]","noteIndex":0},"citationItems":[{"id":163,"uris":["http://zotero.org/users/local/L5HAWlIW/items/V9KG3S7Z"],"itemData":{"id":163,"type":"article-journal","abstract":"Abstract Background General anaesthesia leads to atelectasis, reduced end-expiratory lung volume (EELV), and diminished arterial oxygenation in obese patients. We hypothesized that a combination of a recruitment manoeuvre (RM) and individualized positive end-expiratory pressure (PEEP) can avoid these effects. Methods Patients with a BMI ≥35 kg m−2 undergoing elective laparoscopic surgery were randomly allocated to mechanical ventilation with a tidal volume of 8 ml kg−1 predicted body weight and (i) an RM followed by individualized PEEP titrated using electrical impedance tomography (PEEPIND) or (ii) no RM and PEEP of 5 cm H2O (PEEP5). Gas exchange, regional ventilation distribution, and EELV (multiple breath nitrogen washout method) were determined before, during, and after anaesthesia. The primary end point was the ratio of arterial partial pressure of oxygen to inspiratory oxygen fraction (PaO2/FiO2). Results For PEEPIND (n=25) and PEEP5 (n=25) arms together, PaO2/FiO2 and EELV decreased by 15 kPa [95% confidence interval (CI) 11–20 kPa, P Conclusions In obese patients, an RM and higher PEEPIND restored EELV, regional ventilation distribution, and oxygenation during anaesthesia, but these differences did not persist after extubation. Therefore, lung protection strategies should include the postoperative period. Clinical trial registration German clinical trials register DRKS00004199, www.who.int/ictrp/network/drks2/en/.","container-title":"British journal of anaesthesia","DOI":"10.1093/bja/aex192","issue":"6","note":"publisher: Oxford University Press","page":"1194-1205","title":"Individualized positive end-expiratory pressure in obese patients during general anaesthesia: a randomized controlled clinical trial using electrical impedance tomography","volume":"119","author":[{"family":"Nestler","given":"C.; Simon","suffix":"P.; Petroff, David; Hammermüller, Sören; Kamrath, D.; Wolf, Samuel J.; Dietrich, Arne; Camilo, Luciana Moisés; Beda, Alessandro; Carvalho, Alysson R.; Giannella-Neto, Antonio; Reske, Andreas W.; Wrigge, Hermann"}],"issued":{"date-parts":[["2017"]]}}},{"id":189,"uris":["http://zotero.org/users/local/L5HAWlIW/items/N78M9P4Y"],"itemData":{"id":189,"type":"article-journal","abstract":"&lt;AbstractText Label=\"BACKGROUND\"&gt;Individualised positive end-expiratory pressure (PEEP) may optimise pulmonary compliance, thereby potentially mitigating lung injury. This meta-analysis aimed to determine the impact of individualised PEEP vs fixed PEEP during abdominal surgery on postoperative pulmonary outcomes.&lt;/AbstractText&gt; &lt;AbstractText Label=\"METHODS\"&gt;Medical databases (PubMed, Embase, Web of Science, ScienceDirect, Google Scholar, and the China National Knowledge Infrastructure) were searched for RCTs comparing fixed vs individualised PEEP. The composite primary outcome of pulmonary complications comprised hypoxaemia, atelectasis, pneumonia, and acute respiratory distress syndrome. Secondary outcomes included oxygenation (P&lt;sub&gt;a&lt;/sub&gt;O&lt;sub&gt;2&lt;/sub&gt;/FiO&lt;sub&gt;2&lt;/sub&gt;) and systemic inflammatory markers (interleukin-6 [IL-6] and club cell protein-16 [CC16]). We calculated risk ratios (RRs) and mean differences (MDs) with 95% confidence interval (CI) using DerSimonian and Laird random effects models. Cochrane risk-of-bias tool was applied.&lt;/AbstractText&gt; &lt;AbstractText Label=\"RESULTS\"&gt;Ten RCTs (n=1117 patients) met the criteria for inclusion, with six reporting the primary endpoint. Individualised PEEP reduced the incidence of overall pulmonary complications (141/412 [34.2%]) compared with 183/415 (44.1%) receiving fixed PEEP (RR 0.69 [95% CI: 0.51-0.93]; P=0.016; I&lt;sup&gt;2&lt;/sup&gt;=43%). Risk-of-bias analysis did not alter these findings. Individualised PEEP reduced postoperative hypoxaemia (74/392 [18.9%]) compared with 110/395 (27.8%) participants receiving fixed PEEP (RR 0.68 [0.52-0.88]; P=0.003; I&lt;sup&gt;2&lt;/sup&gt;=0%) but not postoperative atelectasis (RR 0.93 [0.81-1.07]; P=0.297; I&lt;sup&gt;2&lt;/sup&gt;=0%). Individualised PEEP resulted in higher P&lt;sub&gt;a&lt;/sub&gt;O&lt;sub&gt;2&lt;/sub&gt;/FiO&lt;sub&gt;2&lt;/sub&gt; (MD 20.8 mm Hg [4.6-36.9]; P=0.012; I&lt;sup&gt;2&lt;/sup&gt;=80%) and reduced systemic inflammation (lower plasma IL-6 [MD -6.8 pg ml&lt;sup&gt;-1&lt;/sup&gt;; -11.9 to -1.7]; P=0.009; I&lt;sup&gt;2&lt;/sup&gt;=6%; and CC16 levels [MD -6.2 ng ml&lt;sup&gt;-1&lt;/sup&gt;; -8.8 to -3.5]; P&amp;lt;0.001; I&lt;sup&gt;2&lt;/sup&gt;=0%) at the end of surgery.&lt;/AbstractText&gt; &lt;AbstractText Label=\"CONCLUSIONS\"&gt;Individualised PEEP may reduce pulmonary complications, improve oxygenation, and reduce systemic inflammation after abdominal surgery.&lt;/AbstractText&gt; &lt;AbstractText Label=\"CLINICAL TRIAL REGISTRATION\"&gt;CRD42021277973.&lt;/AbstractText&gt; &lt;CopyrightInformation&gt;Copyright © 2022 British Journal of Anaesthesia. Published by Elsevier Ltd. All rights reserved.&lt;/CopyrightInformation&gt;","container-title":"British journal of anaesthesia","DOI":"10.1016/j.bja.2022.07.009","issue":"5","note":"publisher: Oxford University Press","page":"815-825","title":"Individualised positive end-expiratory pressure in abdominal surgery: a systematic review and meta-analysis.","volume":"129","author":[{"family":"Zorrilla-Vaca","given":"Andres; Grant","suffix":"Michael C; Urman, Richard D; Frendl, Gyorgy"}],"issued":{"date-parts":[["2022"]]}}},{"id":148,"uris":["http://zotero.org/users/local/L5HAWlIW/items/B5V6G46C"],"itemData":{"id":148,"type":"article-journal","abstract":"Abstract Background Robot-assisted laparoscopic radical prostatectomy requires general anaesthesia, extreme Trendelenburg positioning and capnoperitoneum. Together these promote impaired pulmonary gas exchange caused by atelectasis and may contribute to postoperative pulmonary complications. In morbidly obese patients, a recruitment manoeuvre (RM) followed by individualised PEEP improves intraoperative oxygenation and end-expiratory lung volume (EELV). We hypothesised that individualised PEEP with initial RM similarly improves intraoperative oxygenation and EELV in non-obese individuals undergoing robot-assisted prostatectomy. Methods Forty males (age, 49–76 yr; BMI Results In 20 males randomised to RM/PEEPIND, the median PEEPIND was 14 cm H2O [inter-quartile range, 8–20]. The Pao2/Fio2 was 10.0 kPa higher with RM/PEEPIND before extubation (95% confidence interval [CI], 2.6–17.3 kPa; P=0.001). RM/PEEPIND increased end-expiratory lung volume by 1.49 L (95% CI, 1.09–1.89 L; P Conclusion In non-obese males, an individualised ventilation strategy improved intraoperative oxygenation, which was associated with higher end-expiratory lung volumes during robot-assisted laparoscopic prostatectomy. Clinical trial registration DRKS00004199 (German clinical trials registry)","container-title":"British journal of anaesthesia","DOI":"10.1016/j.bja.2020.05.041","issue":"3","note":"publisher: Oxford University Press","page":"373-382","title":"Individualised positive end-expiratory pressure guided by electrical impedance tomography for robot-assisted laparoscopic radical prostatectomy: a prospective, randomised controlled clinical trial","volume":"125","author":[{"family":"Girrbach","given":"Felix; Petroff","suffix":"David; Schulz, Susann; Hempel, Gunther; Lange, Mirko; Klotz, Carolin; Scherz, Stephanie; Giannella-Neto, Antonio; Beda, Alessandro; Jardim-Neto, Alcendino; Stolzenburg, Jens-Uwe; Reske, Andreas W.; Wrigge, Hermann; Simon, Philipp"}],"issued":{"date-parts":[["2020"]]}}}],"schema":"https://github.com/citation-style-language/schema/raw/master/csl-citation.json"} </w:instrText>
      </w:r>
      <w:r w:rsidR="00124CFA" w:rsidRPr="00DB58BF">
        <w:fldChar w:fldCharType="separate"/>
      </w:r>
      <w:r w:rsidR="00124CFA" w:rsidRPr="00DB58BF">
        <w:rPr>
          <w:rFonts w:cs="Times New Roman"/>
        </w:rPr>
        <w:t>[14,16,17]</w:t>
      </w:r>
      <w:r w:rsidR="00124CFA" w:rsidRPr="00DB58BF">
        <w:fldChar w:fldCharType="end"/>
      </w:r>
      <w:r w:rsidR="00A16C85" w:rsidRPr="00DB58BF">
        <w:t>.</w:t>
      </w:r>
      <w:r w:rsidR="00124CFA" w:rsidRPr="00DB58BF">
        <w:t xml:space="preserve"> </w:t>
      </w:r>
      <w:proofErr w:type="spellStart"/>
      <w:r w:rsidR="00133767" w:rsidRPr="00DB58BF">
        <w:t>Therefore</w:t>
      </w:r>
      <w:proofErr w:type="spellEnd"/>
      <w:r w:rsidR="00133767" w:rsidRPr="00DB58BF">
        <w:t xml:space="preserve">, </w:t>
      </w:r>
      <w:proofErr w:type="spellStart"/>
      <w:r w:rsidR="00133767" w:rsidRPr="00DB58BF">
        <w:t>conducting</w:t>
      </w:r>
      <w:proofErr w:type="spellEnd"/>
      <w:r w:rsidR="00133767" w:rsidRPr="00DB58BF">
        <w:t xml:space="preserve"> a </w:t>
      </w:r>
      <w:proofErr w:type="spellStart"/>
      <w:r w:rsidR="00133767" w:rsidRPr="00DB58BF">
        <w:t>systematic</w:t>
      </w:r>
      <w:proofErr w:type="spellEnd"/>
      <w:r w:rsidR="00133767" w:rsidRPr="00DB58BF">
        <w:t xml:space="preserve"> </w:t>
      </w:r>
      <w:proofErr w:type="spellStart"/>
      <w:r w:rsidR="00133767" w:rsidRPr="00DB58BF">
        <w:t>review</w:t>
      </w:r>
      <w:proofErr w:type="spellEnd"/>
      <w:r w:rsidR="00133767" w:rsidRPr="00DB58BF">
        <w:t xml:space="preserve"> and </w:t>
      </w:r>
      <w:proofErr w:type="spellStart"/>
      <w:proofErr w:type="gramStart"/>
      <w:r w:rsidR="00133767" w:rsidRPr="00DB58BF">
        <w:t>meta-analysis</w:t>
      </w:r>
      <w:proofErr w:type="spellEnd"/>
      <w:proofErr w:type="gramEnd"/>
      <w:r w:rsidR="00133767" w:rsidRPr="00DB58BF">
        <w:t xml:space="preserve"> of </w:t>
      </w:r>
      <w:proofErr w:type="spellStart"/>
      <w:r w:rsidR="00133767" w:rsidRPr="00DB58BF">
        <w:t>the</w:t>
      </w:r>
      <w:proofErr w:type="spellEnd"/>
      <w:r w:rsidR="00133767" w:rsidRPr="00DB58BF">
        <w:t xml:space="preserve"> </w:t>
      </w:r>
      <w:proofErr w:type="spellStart"/>
      <w:r w:rsidR="00133767" w:rsidRPr="00DB58BF">
        <w:t>currently</w:t>
      </w:r>
      <w:proofErr w:type="spellEnd"/>
      <w:r w:rsidR="00133767" w:rsidRPr="00DB58BF">
        <w:t xml:space="preserve"> </w:t>
      </w:r>
      <w:proofErr w:type="spellStart"/>
      <w:r w:rsidR="00133767" w:rsidRPr="00DB58BF">
        <w:t>available</w:t>
      </w:r>
      <w:proofErr w:type="spellEnd"/>
      <w:r w:rsidR="00133767" w:rsidRPr="00DB58BF">
        <w:t xml:space="preserve"> </w:t>
      </w:r>
      <w:proofErr w:type="spellStart"/>
      <w:r w:rsidR="00133767" w:rsidRPr="00DB58BF">
        <w:t>randomized</w:t>
      </w:r>
      <w:proofErr w:type="spellEnd"/>
      <w:r w:rsidR="00133767" w:rsidRPr="00DB58BF">
        <w:t xml:space="preserve"> </w:t>
      </w:r>
      <w:proofErr w:type="spellStart"/>
      <w:r w:rsidR="00133767" w:rsidRPr="00DB58BF">
        <w:t>controlled</w:t>
      </w:r>
      <w:proofErr w:type="spellEnd"/>
      <w:r w:rsidR="00133767" w:rsidRPr="00DB58BF">
        <w:t xml:space="preserve"> </w:t>
      </w:r>
      <w:proofErr w:type="spellStart"/>
      <w:r w:rsidR="00133767" w:rsidRPr="00DB58BF">
        <w:t>trials</w:t>
      </w:r>
      <w:proofErr w:type="spellEnd"/>
      <w:r w:rsidR="00133767" w:rsidRPr="00DB58BF">
        <w:t xml:space="preserve"> in </w:t>
      </w:r>
      <w:proofErr w:type="spellStart"/>
      <w:r w:rsidR="00133767" w:rsidRPr="00DB58BF">
        <w:t>this</w:t>
      </w:r>
      <w:proofErr w:type="spellEnd"/>
      <w:r w:rsidR="00133767" w:rsidRPr="00DB58BF">
        <w:t xml:space="preserve"> </w:t>
      </w:r>
      <w:proofErr w:type="spellStart"/>
      <w:r w:rsidR="00133767" w:rsidRPr="00DB58BF">
        <w:t>field</w:t>
      </w:r>
      <w:proofErr w:type="spellEnd"/>
      <w:r w:rsidR="00133767" w:rsidRPr="00DB58BF">
        <w:t xml:space="preserve"> </w:t>
      </w:r>
      <w:proofErr w:type="spellStart"/>
      <w:r w:rsidR="00133767" w:rsidRPr="00DB58BF">
        <w:t>may</w:t>
      </w:r>
      <w:proofErr w:type="spellEnd"/>
      <w:r w:rsidR="00133767" w:rsidRPr="00DB58BF">
        <w:t xml:space="preserve"> </w:t>
      </w:r>
      <w:proofErr w:type="spellStart"/>
      <w:r w:rsidR="00133767" w:rsidRPr="00DB58BF">
        <w:t>provide</w:t>
      </w:r>
      <w:proofErr w:type="spellEnd"/>
      <w:r w:rsidR="00133767" w:rsidRPr="00DB58BF">
        <w:t xml:space="preserve"> </w:t>
      </w:r>
      <w:proofErr w:type="spellStart"/>
      <w:r w:rsidR="00133767" w:rsidRPr="00DB58BF">
        <w:t>firmer</w:t>
      </w:r>
      <w:proofErr w:type="spellEnd"/>
      <w:r w:rsidR="00133767" w:rsidRPr="00DB58BF">
        <w:t xml:space="preserve"> </w:t>
      </w:r>
      <w:proofErr w:type="spellStart"/>
      <w:r w:rsidR="00133767" w:rsidRPr="00DB58BF">
        <w:t>conclusions</w:t>
      </w:r>
      <w:proofErr w:type="spellEnd"/>
      <w:r w:rsidR="00133767" w:rsidRPr="00DB58BF">
        <w:t>.</w:t>
      </w:r>
    </w:p>
    <w:p w14:paraId="5A1C7C76" w14:textId="7423EE0F" w:rsidR="00DD6DE3" w:rsidRPr="00DB58BF" w:rsidRDefault="00DD6DE3">
      <w:pPr>
        <w:spacing w:line="278" w:lineRule="auto"/>
        <w:jc w:val="left"/>
        <w:rPr>
          <w:lang w:val="en-US"/>
        </w:rPr>
      </w:pPr>
      <w:r w:rsidRPr="00DB58BF">
        <w:rPr>
          <w:lang w:val="en-US"/>
        </w:rPr>
        <w:br w:type="page"/>
      </w:r>
    </w:p>
    <w:p w14:paraId="6F27ABBC" w14:textId="588D2128" w:rsidR="0054246B" w:rsidRPr="00DB58BF" w:rsidRDefault="0054246B" w:rsidP="0054246B">
      <w:pPr>
        <w:pStyle w:val="Heading2"/>
        <w:rPr>
          <w:szCs w:val="24"/>
          <w:lang w:val="en-US"/>
        </w:rPr>
      </w:pPr>
      <w:bookmarkStart w:id="10" w:name="_Toc211542189"/>
      <w:r w:rsidRPr="00DB58BF">
        <w:rPr>
          <w:szCs w:val="24"/>
          <w:lang w:val="en-US"/>
        </w:rPr>
        <w:lastRenderedPageBreak/>
        <w:t xml:space="preserve">5.2. Overview of Study II. – </w:t>
      </w:r>
      <w:proofErr w:type="spellStart"/>
      <w:r w:rsidRPr="00DB58BF">
        <w:rPr>
          <w:szCs w:val="24"/>
          <w:lang w:val="en-US"/>
        </w:rPr>
        <w:t>Hemoadsorption</w:t>
      </w:r>
      <w:proofErr w:type="spellEnd"/>
      <w:r w:rsidRPr="00DB58BF">
        <w:rPr>
          <w:szCs w:val="24"/>
          <w:lang w:val="en-US"/>
        </w:rPr>
        <w:t xml:space="preserve"> as Adjuvant Therapy in ARDS</w:t>
      </w:r>
      <w:bookmarkEnd w:id="10"/>
    </w:p>
    <w:p w14:paraId="2170AB8A" w14:textId="4CDDAC4C" w:rsidR="009F6735" w:rsidRPr="00DB58BF" w:rsidRDefault="00DD6DE3" w:rsidP="006D239E">
      <w:pPr>
        <w:rPr>
          <w:lang w:val="en-US"/>
        </w:rPr>
      </w:pPr>
      <w:r w:rsidRPr="00DB58BF">
        <w:rPr>
          <w:lang w:val="en-US"/>
        </w:rPr>
        <w:t>Acute respiratory distress syndrome (ARDS), first described in 1967, is a clinical syndrome of acute hypoxemic respiratory failure</w:t>
      </w:r>
      <w:r w:rsidR="00AF49C0" w:rsidRPr="00DB58BF">
        <w:rPr>
          <w:lang w:val="en-US"/>
        </w:rPr>
        <w:fldChar w:fldCharType="begin"/>
      </w:r>
      <w:r w:rsidR="00AF49C0" w:rsidRPr="00DB58BF">
        <w:rPr>
          <w:lang w:val="en-US"/>
        </w:rPr>
        <w:instrText xml:space="preserve"> ADDIN ZOTERO_ITEM CSL_CITATION {"citationID":"UmR3aMbK","properties":{"formattedCitation":"[18]","plainCitation":"[18]","noteIndex":0},"citationItems":[{"id":889,"uris":["http://zotero.org/users/local/L5HAWlIW/items/AENSXUF7"],"itemData":{"id":889,"type":"article-journal","container-title":"The Lancet","DOI":"10.1016/S0140-6736(67)90168-7","ISSN":"01406736","issue":"7511","journalAbbreviation":"The Lancet","language":"en","page":"319-323","source":"DOI.org (Crossref)","title":"ACUTE RESPIRATORY DISTRESS IN ADULTS","volume":"290","author":[{"family":"Ashbaugh","given":"DavidG."},{"family":"Boyd Bigelow","given":"D."},{"family":"Petty","given":"ThomasL."},{"family":"Levine","given":"BernardE."}],"issued":{"date-parts":[["1967",8]]}}}],"schema":"https://github.com/citation-style-language/schema/raw/master/csl-citation.json"} </w:instrText>
      </w:r>
      <w:r w:rsidR="00AF49C0" w:rsidRPr="00DB58BF">
        <w:rPr>
          <w:lang w:val="en-US"/>
        </w:rPr>
        <w:fldChar w:fldCharType="separate"/>
      </w:r>
      <w:r w:rsidR="00AF49C0" w:rsidRPr="00DB58BF">
        <w:rPr>
          <w:rFonts w:cs="Times New Roman"/>
        </w:rPr>
        <w:t>[18]</w:t>
      </w:r>
      <w:r w:rsidR="00AF49C0" w:rsidRPr="00DB58BF">
        <w:rPr>
          <w:lang w:val="en-US"/>
        </w:rPr>
        <w:fldChar w:fldCharType="end"/>
      </w:r>
      <w:r w:rsidR="00DA482B" w:rsidRPr="00DB58BF">
        <w:rPr>
          <w:lang w:val="en-US"/>
        </w:rPr>
        <w:t>. Regarding its pathogenesis, it is</w:t>
      </w:r>
      <w:r w:rsidR="00C5768D" w:rsidRPr="00DB58BF">
        <w:rPr>
          <w:lang w:val="en-US"/>
        </w:rPr>
        <w:t xml:space="preserve"> usually a secondary</w:t>
      </w:r>
      <w:r w:rsidR="00DA482B" w:rsidRPr="00DB58BF">
        <w:rPr>
          <w:lang w:val="en-US"/>
        </w:rPr>
        <w:t xml:space="preserve"> </w:t>
      </w:r>
      <w:r w:rsidRPr="00DB58BF">
        <w:rPr>
          <w:lang w:val="en-US"/>
        </w:rPr>
        <w:t>result</w:t>
      </w:r>
      <w:r w:rsidR="00C5768D" w:rsidRPr="00DB58BF">
        <w:rPr>
          <w:lang w:val="en-US"/>
        </w:rPr>
        <w:t xml:space="preserve"> </w:t>
      </w:r>
      <w:r w:rsidR="00DF5073" w:rsidRPr="00DB58BF">
        <w:rPr>
          <w:lang w:val="en-US"/>
        </w:rPr>
        <w:t>of a</w:t>
      </w:r>
      <w:r w:rsidR="00DA482B" w:rsidRPr="00DB58BF">
        <w:rPr>
          <w:lang w:val="en-US"/>
        </w:rPr>
        <w:t xml:space="preserve"> wide range of pulmonary and extrapulmonary triggers, including severe infections, shock, trauma, and extensive burns</w:t>
      </w:r>
      <w:r w:rsidRPr="00DB58BF">
        <w:rPr>
          <w:lang w:val="en-US"/>
        </w:rPr>
        <w:t xml:space="preserve">. </w:t>
      </w:r>
      <w:r w:rsidR="00E72B05" w:rsidRPr="00DB58BF">
        <w:rPr>
          <w:lang w:val="en-US"/>
        </w:rPr>
        <w:t>D</w:t>
      </w:r>
      <w:r w:rsidRPr="00DB58BF">
        <w:rPr>
          <w:lang w:val="en-US"/>
        </w:rPr>
        <w:t>espite decades of research, ARDS remains associated with high mortality and substantial management difficulties</w:t>
      </w:r>
      <w:r w:rsidR="00E72B05" w:rsidRPr="00DB58BF">
        <w:rPr>
          <w:lang w:val="en-US"/>
        </w:rPr>
        <w:t xml:space="preserve"> </w:t>
      </w:r>
      <w:r w:rsidR="00DA482B" w:rsidRPr="00DB58BF">
        <w:rPr>
          <w:lang w:val="en-US"/>
        </w:rPr>
        <w:fldChar w:fldCharType="begin"/>
      </w:r>
      <w:r w:rsidR="00DA482B" w:rsidRPr="00DB58BF">
        <w:rPr>
          <w:lang w:val="en-US"/>
        </w:rPr>
        <w:instrText xml:space="preserve"> ADDIN ZOTERO_ITEM CSL_CITATION {"citationID":"zAkxBz4x","properties":{"formattedCitation":"[18,19]","plainCitation":"[18,19]","noteIndex":0},"citationItems":[{"id":5118,"uris":["http://zotero.org/users/local/L5HAWlIW/items/ZSWX48NU"],"itemData":{"id":5118,"type":"article-journal","abstract":"Background\n              Acute respiratory distress syndrome (ARDS) is a life-threatening condition associated with high mortality rates. Despite advancements in critical care, reliable early prediction methods for ARDS-related mortality remain elusive. Accurate risk assessment is crucial for timely intervention and improved patient outcomes. Machine learning (ML) techniques have emerged as promising tools for mortality prediction in patients with ARDS, leveraging complex clinical datasets to identify key prognostic factors. However, the efficacy of ML-based models remains uncertain. This systematic review aims to assess the value of ML models in the early prediction of ARDS mortality risk and to provide evidence supporting the development of simplified, clinically applicable ML-based scoring tools for prognosis.\n            \n            \n              Objective\n              This study systematically reviewed available literature on ML-based ARDS mortality prediction models, primarily aiming to evaluate the predictive performance of these models and compare their efficacy with conventional scoring systems. It also sought to identify limitations and provide insights for improving future ML-based prediction tools.\n            \n            \n              Methods\n              A comprehensive literature search was conducted across PubMed, Web of Science, the Cochrane Library, and Embase, covering publications from inception to April 27, 2024. Studies developing or validating ML-based ARDS mortality predicting models were considered for inclusion. The methodological quality and risk of bias were assessed using the Prediction Model Risk of Bias Assessment Tool (PROBAST). Subgroup analyses were performed to explore heterogeneity in model performance based on dataset characteristics and validation approaches.\n            \n            \n              Results\n              In total, 21 studies involving a total of 31,291 patients with ARDS were included. The meta-analysis demonstrated that ML models achieved relatively high predictive performance. In the training datasets, the pooled concordance index (C-index) was 0.84 (95% CI 0.81-0.86), while for in-hospital mortality prediction, the pooled C-index was 0.83 (95% CI 0.81-0.86). In the external validation datasets, the pooled C-index was 0.81 (95% CI 0.78-0.84), and the corresponding value for in-hospital mortality prediction was 0.80 (95% CI 0.77-0.84). ML models outperformed traditional scoring tools, which demonstrated lower predictive performance. The pooled area under the receiver operating characteristic curve (ROC-AUC) for standard scoring systems was 0.7 (95% CI 0.67-0.72). Specifically, 2 widely used clinical scoring systems, the Sequential Organ Failure Assessment (SOFA) and Simplified Acute Physiology Score II (SAPS-II), demonstrated ROC-AUCs of 0.64 (95% CI 0.62-0.67) and 0.70 (95% CI 0.66-0.74), respectively.\n            \n            \n              Conclusions\n              ML-based models exhibited superior predictive accuracy over conventional scoring tools, suggesting their potential use in early ARDS mortality risk assessment. However, further research is needed to refine these models, improve their interpretability, and enhance their clinical applicability. Future efforts should focus on developing simplified, efficient, and user-friendly ML-based prediction tools that integrate seamlessly into clinical workflows. Such advancements may facilitate the early identification of high-risk patients, enabling timely interventions and personalized, risk-based prevention strategies to improve ARDS outcomes.","container-title":"Journal of Medical Internet Research","DOI":"10.2196/70537","ISSN":"1438-8871","journalAbbreviation":"J Med Internet Res","language":"en","page":"e70537","source":"DOI.org (Crossref)","title":"Early Prediction of Mortality Risk in Acute Respiratory Distress Syndrome: Systematic Review and Meta-Analysis","title-short":"Early Prediction of Mortality Risk in Acute Respiratory Distress Syndrome","volume":"27","author":[{"family":"Tan","given":"Ruimin"},{"family":"Ge","given":"Chen"},{"family":"Li","given":"Zhe"},{"family":"Yan","given":"Yating"},{"family":"Guo","given":"He"},{"family":"Song","given":"Wenjing"},{"family":"Zhu","given":"Qiong"},{"family":"Du","given":"Quansheng"}],"issued":{"date-parts":[["2025",5,20]]}}},{"id":889,"uris":["http://zotero.org/users/local/L5HAWlIW/items/AENSXUF7"],"itemData":{"id":889,"type":"article-journal","container-title":"The Lancet","DOI":"10.1016/S0140-6736(67)90168-7","ISSN":"01406736","issue":"7511","journalAbbreviation":"The Lancet","language":"en","page":"319-323","source":"DOI.org (Crossref)","title":"ACUTE RESPIRATORY DISTRESS IN ADULTS","volume":"290","author":[{"family":"Ashbaugh","given":"DavidG."},{"family":"Boyd Bigelow","given":"D."},{"family":"Petty","given":"ThomasL."},{"family":"Levine","given":"BernardE."}],"issued":{"date-parts":[["1967",8]]}}}],"schema":"https://github.com/citation-style-language/schema/raw/master/csl-citation.json"} </w:instrText>
      </w:r>
      <w:r w:rsidR="00DA482B" w:rsidRPr="00DB58BF">
        <w:rPr>
          <w:lang w:val="en-US"/>
        </w:rPr>
        <w:fldChar w:fldCharType="separate"/>
      </w:r>
      <w:r w:rsidR="00DA482B" w:rsidRPr="00DB58BF">
        <w:rPr>
          <w:rFonts w:cs="Times New Roman"/>
        </w:rPr>
        <w:t>[18,19]</w:t>
      </w:r>
      <w:r w:rsidR="00DA482B" w:rsidRPr="00DB58BF">
        <w:rPr>
          <w:lang w:val="en-US"/>
        </w:rPr>
        <w:fldChar w:fldCharType="end"/>
      </w:r>
      <w:r w:rsidRPr="00DB58BF">
        <w:rPr>
          <w:lang w:val="en-US"/>
        </w:rPr>
        <w:t xml:space="preserve">. </w:t>
      </w:r>
    </w:p>
    <w:p w14:paraId="7907289C" w14:textId="05660275" w:rsidR="00C17E33" w:rsidRPr="00DB58BF" w:rsidRDefault="00C17E33" w:rsidP="006D239E">
      <w:pPr>
        <w:rPr>
          <w:lang w:val="en-US"/>
        </w:rPr>
      </w:pPr>
      <w:r w:rsidRPr="00DB58BF">
        <w:rPr>
          <w:lang w:val="en-US"/>
        </w:rPr>
        <w:t>Lung-protective ventilation has been extensively studied in patients with ARDS and remains a cornerstone of supportive care, typically involving the use of lower tidal volumes and various levels of PEEP</w:t>
      </w:r>
      <w:r w:rsidR="0067720C" w:rsidRPr="00DB58BF">
        <w:rPr>
          <w:lang w:val="en-US"/>
        </w:rPr>
        <w:t xml:space="preserve"> to improve oxygenation</w:t>
      </w:r>
      <w:r w:rsidR="00C2504B" w:rsidRPr="00DB58BF">
        <w:rPr>
          <w:lang w:val="en-US"/>
        </w:rPr>
        <w:t>, prevent further</w:t>
      </w:r>
      <w:r w:rsidR="00842F53" w:rsidRPr="00DB58BF">
        <w:rPr>
          <w:lang w:val="en-US"/>
        </w:rPr>
        <w:t xml:space="preserve"> ventilator</w:t>
      </w:r>
      <w:r w:rsidR="00C2504B" w:rsidRPr="00DB58BF">
        <w:rPr>
          <w:lang w:val="en-US"/>
        </w:rPr>
        <w:t>-induced lung injury (</w:t>
      </w:r>
      <w:r w:rsidR="00842F53" w:rsidRPr="00DB58BF">
        <w:rPr>
          <w:lang w:val="en-US"/>
        </w:rPr>
        <w:t>VILI</w:t>
      </w:r>
      <w:r w:rsidR="00C2504B" w:rsidRPr="00DB58BF">
        <w:rPr>
          <w:lang w:val="en-US"/>
        </w:rPr>
        <w:t xml:space="preserve">) and reduce </w:t>
      </w:r>
      <w:r w:rsidR="00842F53" w:rsidRPr="00DB58BF">
        <w:rPr>
          <w:lang w:val="en-US"/>
        </w:rPr>
        <w:t>mortality</w:t>
      </w:r>
      <w:r w:rsidRPr="00DB58BF">
        <w:rPr>
          <w:lang w:val="en-US"/>
        </w:rPr>
        <w:t xml:space="preserve"> </w:t>
      </w:r>
      <w:r w:rsidR="00DA44D4" w:rsidRPr="00DB58BF">
        <w:rPr>
          <w:lang w:val="en-US"/>
        </w:rPr>
        <w:fldChar w:fldCharType="begin"/>
      </w:r>
      <w:r w:rsidR="00DA44D4" w:rsidRPr="00DB58BF">
        <w:rPr>
          <w:lang w:val="en-US"/>
        </w:rPr>
        <w:instrText xml:space="preserve"> ADDIN ZOTERO_ITEM CSL_CITATION {"citationID":"ai5SX4VP","properties":{"formattedCitation":"[20,21]","plainCitation":"[20,21]","noteIndex":0},"citationItems":[{"id":893,"uris":["http://zotero.org/users/local/L5HAWlIW/items/83JPPZUS"],"itemData":{"id":893,"type":"article-journal","abstract":"The Faculty of Intensive Care Medicine and Intensive Care Society Guideline Development Group have used GRADE methodology to make the following recommendations for the management of adult patients with acute respiratory distress syndrome (ARDS). The British Thoracic Society supports the recommendations in this guideline. Where mechanical ventilation is required, the use of low tidal volumes (&lt;6 ml/kg ideal body weight) and airway pressures (plateau pressure &lt;30 cmH\n              2\n              O) was recommended. For patients with moderate/severe ARDS (PF ratio&lt;20 kPa), prone positioning was recommended for at least 12 hours per day. By contrast, high frequency oscillation was not recommended and it was suggested that inhaled nitric oxide is not used. The use of a conservative fluid management strategy was suggested for all patients, whereas mechanical ventilation with high positive end-expiratory pressure and the use of the neuromuscular blocking agent cisatracurium for 48 hours was suggested for patients with ARDS with ratio of arterial oxygen partial pressure to fractional inspired oxygen (PF) ratios less than or equal to 27 and 20 kPa, respectively. Extracorporeal membrane oxygenation was suggested as an adjunct to protective mechanical ventilation for patients with very severe ARDS. In the absence of adequate evidence, research recommendations were made for the use of corticosteroids and extracorporeal carbon dioxide removal.","container-title":"BMJ Open Respiratory Research","DOI":"10.1136/bmjresp-2019-000420","ISSN":"2052-4439","issue":"1","journalAbbreviation":"BMJ Open Resp Res","language":"en","page":"e000420","source":"DOI.org (Crossref)","title":"Guidelines on the management of acute respiratory distress syndrome","volume":"6","author":[{"family":"Griffiths","given":"Mark J D"},{"family":"McAuley","given":"Danny Francis"},{"family":"Perkins","given":"Gavin D"},{"family":"Barrett","given":"Nicholas"},{"family":"Blackwood","given":"Bronagh"},{"family":"Boyle","given":"Andrew"},{"family":"Chee","given":"Nigel"},{"family":"Connolly","given":"Bronwen"},{"family":"Dark","given":"Paul"},{"family":"Finney","given":"Simon"},{"family":"Salam","given":"Aemun"},{"family":"Silversides","given":"Jonathan"},{"family":"Tarmey","given":"Nick"},{"family":"Wise","given":"Matt P"},{"family":"Baudouin","given":"Simon V"}],"issued":{"date-parts":[["2019",5]]}}},{"id":5119,"uris":["http://zotero.org/users/local/L5HAWlIW/items/PRZG4BG3"],"itemData":{"id":5119,"type":"article-journal","container-title":"BMC Anesthesiology","DOI":"10.1186/s12871-018-0631-4","ISSN":"1471-2253","issue":"1","journalAbbreviation":"BMC Anesthesiol","language":"en","page":"172","source":"DOI.org (Crossref)","title":"Higher PEEP improves outcomes in ARDS patients with clinically objective positive oxygenation response to PEEP: a systematic review and meta-analysis","title-short":"Higher PEEP improves outcomes in ARDS patients with clinically objective positive oxygenation response to PEEP","volume":"18","author":[{"family":"Guo","given":"Lanqi"},{"family":"Xie","given":"Jianfeng"},{"family":"Huang","given":"Yingzi"},{"family":"Pan","given":"Chun"},{"family":"Yang","given":"Yi"},{"family":"Qiu","given":"Haibo"},{"family":"Liu","given":"Ling"}],"issued":{"date-parts":[["2018",12]]}}}],"schema":"https://github.com/citation-style-language/schema/raw/master/csl-citation.json"} </w:instrText>
      </w:r>
      <w:r w:rsidR="00DA44D4" w:rsidRPr="00DB58BF">
        <w:rPr>
          <w:lang w:val="en-US"/>
        </w:rPr>
        <w:fldChar w:fldCharType="separate"/>
      </w:r>
      <w:r w:rsidR="00DA44D4" w:rsidRPr="00DB58BF">
        <w:rPr>
          <w:rFonts w:cs="Times New Roman"/>
        </w:rPr>
        <w:t>[20,21]</w:t>
      </w:r>
      <w:r w:rsidR="00DA44D4" w:rsidRPr="00DB58BF">
        <w:rPr>
          <w:lang w:val="en-US"/>
        </w:rPr>
        <w:fldChar w:fldCharType="end"/>
      </w:r>
      <w:r w:rsidRPr="00DB58BF">
        <w:rPr>
          <w:lang w:val="en-US"/>
        </w:rPr>
        <w:t>.</w:t>
      </w:r>
      <w:r w:rsidR="009255EF" w:rsidRPr="00DB58BF">
        <w:rPr>
          <w:lang w:val="en-US"/>
        </w:rPr>
        <w:t xml:space="preserve"> </w:t>
      </w:r>
      <w:proofErr w:type="spellStart"/>
      <w:r w:rsidR="009255EF" w:rsidRPr="00DB58BF">
        <w:t>Clinical</w:t>
      </w:r>
      <w:proofErr w:type="spellEnd"/>
      <w:r w:rsidR="009255EF" w:rsidRPr="00DB58BF">
        <w:t xml:space="preserve"> </w:t>
      </w:r>
      <w:proofErr w:type="spellStart"/>
      <w:r w:rsidR="009255EF" w:rsidRPr="00DB58BF">
        <w:t>trials</w:t>
      </w:r>
      <w:proofErr w:type="spellEnd"/>
      <w:r w:rsidR="009255EF" w:rsidRPr="00DB58BF">
        <w:t xml:space="preserve"> </w:t>
      </w:r>
      <w:proofErr w:type="spellStart"/>
      <w:r w:rsidR="009255EF" w:rsidRPr="00DB58BF">
        <w:t>have</w:t>
      </w:r>
      <w:proofErr w:type="spellEnd"/>
      <w:r w:rsidR="009255EF" w:rsidRPr="00DB58BF">
        <w:t xml:space="preserve"> </w:t>
      </w:r>
      <w:proofErr w:type="spellStart"/>
      <w:r w:rsidR="009255EF" w:rsidRPr="00DB58BF">
        <w:t>shown</w:t>
      </w:r>
      <w:proofErr w:type="spellEnd"/>
      <w:r w:rsidR="009255EF" w:rsidRPr="00DB58BF">
        <w:t xml:space="preserve"> </w:t>
      </w:r>
      <w:proofErr w:type="spellStart"/>
      <w:r w:rsidR="009255EF" w:rsidRPr="00DB58BF">
        <w:t>that</w:t>
      </w:r>
      <w:proofErr w:type="spellEnd"/>
      <w:r w:rsidR="009255EF" w:rsidRPr="00DB58BF">
        <w:t xml:space="preserve"> </w:t>
      </w:r>
      <w:proofErr w:type="spellStart"/>
      <w:r w:rsidR="009255EF" w:rsidRPr="00DB58BF">
        <w:t>adjunctive</w:t>
      </w:r>
      <w:proofErr w:type="spellEnd"/>
      <w:r w:rsidR="009255EF" w:rsidRPr="00DB58BF">
        <w:t xml:space="preserve"> </w:t>
      </w:r>
      <w:proofErr w:type="spellStart"/>
      <w:r w:rsidR="007B7991" w:rsidRPr="00DB58BF">
        <w:t>approaches</w:t>
      </w:r>
      <w:proofErr w:type="spellEnd"/>
      <w:r w:rsidR="009255EF" w:rsidRPr="00DB58BF">
        <w:t xml:space="preserve">, </w:t>
      </w:r>
      <w:proofErr w:type="spellStart"/>
      <w:r w:rsidR="009255EF" w:rsidRPr="00DB58BF">
        <w:t>such</w:t>
      </w:r>
      <w:proofErr w:type="spellEnd"/>
      <w:r w:rsidR="009255EF" w:rsidRPr="00DB58BF">
        <w:t xml:space="preserve"> </w:t>
      </w:r>
      <w:proofErr w:type="spellStart"/>
      <w:r w:rsidR="009255EF" w:rsidRPr="00DB58BF">
        <w:t>as</w:t>
      </w:r>
      <w:proofErr w:type="spellEnd"/>
      <w:r w:rsidR="009255EF" w:rsidRPr="00DB58BF">
        <w:t xml:space="preserve"> </w:t>
      </w:r>
      <w:proofErr w:type="spellStart"/>
      <w:r w:rsidR="009255EF" w:rsidRPr="00DB58BF">
        <w:t>prone</w:t>
      </w:r>
      <w:proofErr w:type="spellEnd"/>
      <w:r w:rsidR="009255EF" w:rsidRPr="00DB58BF">
        <w:t xml:space="preserve"> </w:t>
      </w:r>
      <w:proofErr w:type="spellStart"/>
      <w:r w:rsidR="009255EF" w:rsidRPr="00DB58BF">
        <w:t>positioning</w:t>
      </w:r>
      <w:proofErr w:type="spellEnd"/>
      <w:r w:rsidR="009255EF" w:rsidRPr="00DB58BF">
        <w:t>,</w:t>
      </w:r>
      <w:r w:rsidR="009A1328" w:rsidRPr="00DB58BF">
        <w:t xml:space="preserve"> </w:t>
      </w:r>
      <w:proofErr w:type="spellStart"/>
      <w:r w:rsidR="009A1328" w:rsidRPr="00DB58BF">
        <w:t>recruitment</w:t>
      </w:r>
      <w:proofErr w:type="spellEnd"/>
      <w:r w:rsidR="009A1328" w:rsidRPr="00DB58BF">
        <w:t xml:space="preserve"> </w:t>
      </w:r>
      <w:proofErr w:type="spellStart"/>
      <w:r w:rsidR="009A1328" w:rsidRPr="00DB58BF">
        <w:t>maneuvers</w:t>
      </w:r>
      <w:proofErr w:type="spellEnd"/>
      <w:r w:rsidR="009A1328" w:rsidRPr="00DB58BF">
        <w:t xml:space="preserve">, </w:t>
      </w:r>
      <w:proofErr w:type="spellStart"/>
      <w:r w:rsidR="009A1328" w:rsidRPr="00DB58BF">
        <w:t>conservative</w:t>
      </w:r>
      <w:proofErr w:type="spellEnd"/>
      <w:r w:rsidR="009A1328" w:rsidRPr="00DB58BF">
        <w:t xml:space="preserve"> fluid management, and </w:t>
      </w:r>
      <w:proofErr w:type="spellStart"/>
      <w:r w:rsidR="009A1328" w:rsidRPr="00DB58BF">
        <w:t>extracorporeal</w:t>
      </w:r>
      <w:proofErr w:type="spellEnd"/>
      <w:r w:rsidR="009A1328" w:rsidRPr="00DB58BF">
        <w:t xml:space="preserve"> </w:t>
      </w:r>
      <w:proofErr w:type="spellStart"/>
      <w:r w:rsidR="009A1328" w:rsidRPr="00DB58BF">
        <w:t>support</w:t>
      </w:r>
      <w:proofErr w:type="spellEnd"/>
      <w:r w:rsidR="009A1328" w:rsidRPr="00DB58BF">
        <w:t xml:space="preserve"> (ECMO, </w:t>
      </w:r>
      <w:proofErr w:type="spellStart"/>
      <w:r w:rsidR="009A1328" w:rsidRPr="00DB58BF">
        <w:t>hemoadsorption</w:t>
      </w:r>
      <w:proofErr w:type="spellEnd"/>
      <w:r w:rsidR="009A1328" w:rsidRPr="00DB58BF">
        <w:t xml:space="preserve">) </w:t>
      </w:r>
      <w:proofErr w:type="spellStart"/>
      <w:r w:rsidR="009A1328" w:rsidRPr="00DB58BF">
        <w:t>may</w:t>
      </w:r>
      <w:proofErr w:type="spellEnd"/>
      <w:r w:rsidR="009A1328" w:rsidRPr="00DB58BF">
        <w:t xml:space="preserve"> </w:t>
      </w:r>
      <w:proofErr w:type="spellStart"/>
      <w:r w:rsidR="009255EF" w:rsidRPr="00DB58BF">
        <w:t>improve</w:t>
      </w:r>
      <w:proofErr w:type="spellEnd"/>
      <w:r w:rsidR="009255EF" w:rsidRPr="00DB58BF">
        <w:t xml:space="preserve"> </w:t>
      </w:r>
      <w:proofErr w:type="spellStart"/>
      <w:r w:rsidR="009255EF" w:rsidRPr="00DB58BF">
        <w:t>oxygenation</w:t>
      </w:r>
      <w:proofErr w:type="spellEnd"/>
      <w:r w:rsidR="009255EF" w:rsidRPr="00DB58BF">
        <w:t xml:space="preserve"> in ARDS, </w:t>
      </w:r>
      <w:proofErr w:type="spellStart"/>
      <w:r w:rsidR="009255EF" w:rsidRPr="00DB58BF">
        <w:t>though</w:t>
      </w:r>
      <w:proofErr w:type="spellEnd"/>
      <w:r w:rsidR="009255EF" w:rsidRPr="00DB58BF">
        <w:t xml:space="preserve"> </w:t>
      </w:r>
      <w:proofErr w:type="spellStart"/>
      <w:r w:rsidR="009255EF" w:rsidRPr="00DB58BF">
        <w:t>survival</w:t>
      </w:r>
      <w:proofErr w:type="spellEnd"/>
      <w:r w:rsidR="009255EF" w:rsidRPr="00DB58BF">
        <w:t xml:space="preserve"> </w:t>
      </w:r>
      <w:proofErr w:type="spellStart"/>
      <w:r w:rsidR="009255EF" w:rsidRPr="00DB58BF">
        <w:t>benefits</w:t>
      </w:r>
      <w:proofErr w:type="spellEnd"/>
      <w:r w:rsidR="009255EF" w:rsidRPr="00DB58BF">
        <w:t xml:space="preserve"> </w:t>
      </w:r>
      <w:proofErr w:type="spellStart"/>
      <w:r w:rsidR="009255EF" w:rsidRPr="00DB58BF">
        <w:t>remain</w:t>
      </w:r>
      <w:proofErr w:type="spellEnd"/>
      <w:r w:rsidR="009255EF" w:rsidRPr="00DB58BF">
        <w:t xml:space="preserve"> </w:t>
      </w:r>
      <w:proofErr w:type="spellStart"/>
      <w:r w:rsidR="009255EF" w:rsidRPr="00DB58BF">
        <w:t>unproven</w:t>
      </w:r>
      <w:proofErr w:type="spellEnd"/>
      <w:r w:rsidR="009255EF" w:rsidRPr="00DB58BF">
        <w:t xml:space="preserve"> </w:t>
      </w:r>
      <w:r w:rsidR="00374330" w:rsidRPr="00DB58BF">
        <w:fldChar w:fldCharType="begin"/>
      </w:r>
      <w:r w:rsidR="00374330" w:rsidRPr="00DB58BF">
        <w:instrText xml:space="preserve"> ADDIN ZOTERO_ITEM CSL_CITATION {"citationID":"rvW08vG1","properties":{"formattedCitation":"[22]","plainCitation":"[22]","noteIndex":0},"citationItems":[{"id":5121,"uris":["http://zotero.org/users/local/L5HAWlIW/items/KJK2BY3Q"],"itemData":{"id":5121,"type":"article-journal","container-title":"World Journal of Critical Care Medicine","DOI":"10.5492/wjccm.v5.i2.121","ISSN":"2220-3141","issue":"2","journalAbbreviation":"WJCCM","language":"en","page":"121","source":"DOI.org (Crossref)","title":"Efficacy of prone position in acute respiratory distress syndrome patients: A pathophysiology-based review","title-short":"Efficacy of prone position in acute respiratory distress syndrome patients","volume":"5","author":[{"family":"Koulouras","given":"Vasilios"},{"family":"Papathanakos","given":"Georgios"},{"family":"Papathanasiou","given":"Athanasios"},{"family":"Nakos","given":"Georgios"}],"issued":{"date-parts":[["2016"]]}}}],"schema":"https://github.com/citation-style-language/schema/raw/master/csl-citation.json"} </w:instrText>
      </w:r>
      <w:r w:rsidR="00374330" w:rsidRPr="00DB58BF">
        <w:fldChar w:fldCharType="separate"/>
      </w:r>
      <w:r w:rsidR="00374330" w:rsidRPr="00DB58BF">
        <w:rPr>
          <w:rFonts w:cs="Times New Roman"/>
        </w:rPr>
        <w:t>[22]</w:t>
      </w:r>
      <w:r w:rsidR="00374330" w:rsidRPr="00DB58BF">
        <w:fldChar w:fldCharType="end"/>
      </w:r>
      <w:r w:rsidR="009255EF" w:rsidRPr="00DB58BF">
        <w:t>.</w:t>
      </w:r>
    </w:p>
    <w:p w14:paraId="2B108B28" w14:textId="7000283C" w:rsidR="00423F94" w:rsidRPr="00DB58BF" w:rsidRDefault="003F5D10" w:rsidP="0036711F">
      <w:pPr>
        <w:rPr>
          <w:lang w:val="en-US"/>
        </w:rPr>
      </w:pPr>
      <w:r w:rsidRPr="00DB58BF">
        <w:rPr>
          <w:lang w:val="en-US"/>
        </w:rPr>
        <w:t>The</w:t>
      </w:r>
      <w:r w:rsidR="00002C2B" w:rsidRPr="00DB58BF">
        <w:rPr>
          <w:lang w:val="en-US"/>
        </w:rPr>
        <w:t xml:space="preserve"> pathophysiology of ARDS involves hyperactivat</w:t>
      </w:r>
      <w:r w:rsidR="00AC62B3" w:rsidRPr="00DB58BF">
        <w:rPr>
          <w:lang w:val="en-US"/>
        </w:rPr>
        <w:t>ed</w:t>
      </w:r>
      <w:r w:rsidR="00002C2B" w:rsidRPr="00DB58BF">
        <w:rPr>
          <w:lang w:val="en-US"/>
        </w:rPr>
        <w:t xml:space="preserve"> or dysregulat</w:t>
      </w:r>
      <w:r w:rsidR="00AC62B3" w:rsidRPr="00DB58BF">
        <w:rPr>
          <w:lang w:val="en-US"/>
        </w:rPr>
        <w:t>ed host-response</w:t>
      </w:r>
      <w:r w:rsidR="00002C2B" w:rsidRPr="00DB58BF">
        <w:rPr>
          <w:lang w:val="en-US"/>
        </w:rPr>
        <w:t xml:space="preserve"> of immune pathways,</w:t>
      </w:r>
      <w:r w:rsidR="00BF4B33" w:rsidRPr="00DB58BF">
        <w:rPr>
          <w:lang w:val="en-US"/>
        </w:rPr>
        <w:t xml:space="preserve"> </w:t>
      </w:r>
      <w:r w:rsidR="004E4736" w:rsidRPr="00DB58BF">
        <w:rPr>
          <w:lang w:val="en-US"/>
        </w:rPr>
        <w:t xml:space="preserve">with a central role of circulating </w:t>
      </w:r>
      <w:proofErr w:type="spellStart"/>
      <w:r w:rsidR="004E4736" w:rsidRPr="00DB58BF">
        <w:rPr>
          <w:lang w:val="en-US"/>
        </w:rPr>
        <w:t>cytokins</w:t>
      </w:r>
      <w:proofErr w:type="spellEnd"/>
      <w:r w:rsidR="004E4736" w:rsidRPr="00DB58BF">
        <w:rPr>
          <w:lang w:val="en-US"/>
        </w:rPr>
        <w:t xml:space="preserve"> </w:t>
      </w:r>
      <w:r w:rsidR="00A6328C" w:rsidRPr="00DB58BF">
        <w:rPr>
          <w:lang w:val="en-US"/>
        </w:rPr>
        <w:fldChar w:fldCharType="begin"/>
      </w:r>
      <w:r w:rsidR="00374330" w:rsidRPr="00DB58BF">
        <w:rPr>
          <w:lang w:val="en-US"/>
        </w:rPr>
        <w:instrText xml:space="preserve"> ADDIN ZOTERO_ITEM CSL_CITATION {"citationID":"xWCZMjmb","properties":{"formattedCitation":"[23]","plainCitation":"[23]","noteIndex":0},"citationItems":[{"id":5106,"uris":["http://zotero.org/users/local/L5HAWlIW/items/ALX5MQ7M"],"itemData":{"id":5106,"type":"article-journal","container-title":"The Lancet","DOI":"10.1016/S0140-6736(22)01485-4","ISSN":"01406736","issue":"10358","journalAbbreviation":"The Lancet","language":"en","page":"1145-1156","source":"DOI.org (Crossref)","title":"Acute respiratory distress syndrome: causes, pathophysiology, and phenotypes","title-short":"Acute respiratory distress syndrome","volume":"400","author":[{"family":"Bos","given":"Lieuwe D J"},{"family":"Ware","given":"Lorraine B"}],"issued":{"date-parts":[["2022",10]]}}}],"schema":"https://github.com/citation-style-language/schema/raw/master/csl-citation.json"} </w:instrText>
      </w:r>
      <w:r w:rsidR="00A6328C" w:rsidRPr="00DB58BF">
        <w:rPr>
          <w:lang w:val="en-US"/>
        </w:rPr>
        <w:fldChar w:fldCharType="separate"/>
      </w:r>
      <w:r w:rsidR="00374330" w:rsidRPr="00DB58BF">
        <w:rPr>
          <w:rFonts w:cs="Times New Roman"/>
        </w:rPr>
        <w:t>[23]</w:t>
      </w:r>
      <w:r w:rsidR="00A6328C" w:rsidRPr="00DB58BF">
        <w:rPr>
          <w:lang w:val="en-US"/>
        </w:rPr>
        <w:fldChar w:fldCharType="end"/>
      </w:r>
      <w:r w:rsidRPr="00DB58BF">
        <w:rPr>
          <w:lang w:val="en-US"/>
        </w:rPr>
        <w:t>. T</w:t>
      </w:r>
      <w:proofErr w:type="spellStart"/>
      <w:r w:rsidR="00FC4BA0" w:rsidRPr="00DB58BF">
        <w:t>hese</w:t>
      </w:r>
      <w:proofErr w:type="spellEnd"/>
      <w:r w:rsidR="00FC4BA0" w:rsidRPr="00DB58BF">
        <w:t xml:space="preserve"> local and </w:t>
      </w:r>
      <w:proofErr w:type="spellStart"/>
      <w:r w:rsidR="00FC4BA0" w:rsidRPr="00DB58BF">
        <w:t>systemic</w:t>
      </w:r>
      <w:proofErr w:type="spellEnd"/>
      <w:r w:rsidR="00FC4BA0" w:rsidRPr="00DB58BF">
        <w:t xml:space="preserve"> </w:t>
      </w:r>
      <w:proofErr w:type="spellStart"/>
      <w:r w:rsidR="00FC4BA0" w:rsidRPr="00DB58BF">
        <w:t>effects</w:t>
      </w:r>
      <w:proofErr w:type="spellEnd"/>
      <w:r w:rsidR="00FC4BA0" w:rsidRPr="00DB58BF">
        <w:t xml:space="preserve"> </w:t>
      </w:r>
      <w:r w:rsidRPr="00DB58BF">
        <w:t xml:space="preserve">of </w:t>
      </w:r>
      <w:proofErr w:type="spellStart"/>
      <w:r w:rsidRPr="00DB58BF">
        <w:t>inflammation</w:t>
      </w:r>
      <w:proofErr w:type="spellEnd"/>
      <w:r w:rsidRPr="00DB58BF">
        <w:t xml:space="preserve"> </w:t>
      </w:r>
      <w:proofErr w:type="spellStart"/>
      <w:r w:rsidR="00FC4BA0" w:rsidRPr="00DB58BF">
        <w:t>may</w:t>
      </w:r>
      <w:proofErr w:type="spellEnd"/>
      <w:r w:rsidR="00FC4BA0" w:rsidRPr="00DB58BF">
        <w:t xml:space="preserve"> </w:t>
      </w:r>
      <w:proofErr w:type="spellStart"/>
      <w:r w:rsidR="00FC4BA0" w:rsidRPr="00DB58BF">
        <w:t>exacerbate</w:t>
      </w:r>
      <w:proofErr w:type="spellEnd"/>
      <w:r w:rsidR="00FC4BA0" w:rsidRPr="00DB58BF">
        <w:t xml:space="preserve"> </w:t>
      </w:r>
      <w:proofErr w:type="spellStart"/>
      <w:r w:rsidR="00FC4BA0" w:rsidRPr="00DB58BF">
        <w:t>lung</w:t>
      </w:r>
      <w:proofErr w:type="spellEnd"/>
      <w:r w:rsidR="00FC4BA0" w:rsidRPr="00DB58BF">
        <w:t xml:space="preserve"> </w:t>
      </w:r>
      <w:proofErr w:type="spellStart"/>
      <w:r w:rsidR="00FC4BA0" w:rsidRPr="00DB58BF">
        <w:t>injury</w:t>
      </w:r>
      <w:proofErr w:type="spellEnd"/>
      <w:r w:rsidR="00FC4BA0" w:rsidRPr="00DB58BF">
        <w:t xml:space="preserve">, </w:t>
      </w:r>
      <w:proofErr w:type="spellStart"/>
      <w:r w:rsidR="00FC4BA0" w:rsidRPr="00DB58BF">
        <w:t>worsening</w:t>
      </w:r>
      <w:proofErr w:type="spellEnd"/>
      <w:r w:rsidR="00FC4BA0" w:rsidRPr="00DB58BF">
        <w:t xml:space="preserve"> </w:t>
      </w:r>
      <w:proofErr w:type="spellStart"/>
      <w:r w:rsidR="00FC4BA0" w:rsidRPr="00DB58BF">
        <w:t>ventilation</w:t>
      </w:r>
      <w:proofErr w:type="spellEnd"/>
      <w:r w:rsidR="00FC4BA0" w:rsidRPr="00DB58BF">
        <w:t>–</w:t>
      </w:r>
      <w:proofErr w:type="spellStart"/>
      <w:r w:rsidR="00FC4BA0" w:rsidRPr="00DB58BF">
        <w:t>perfusion</w:t>
      </w:r>
      <w:proofErr w:type="spellEnd"/>
      <w:r w:rsidR="00FC4BA0" w:rsidRPr="00DB58BF">
        <w:t xml:space="preserve"> </w:t>
      </w:r>
      <w:proofErr w:type="spellStart"/>
      <w:r w:rsidR="00FC4BA0" w:rsidRPr="00DB58BF">
        <w:t>mismatch</w:t>
      </w:r>
      <w:proofErr w:type="spellEnd"/>
      <w:r w:rsidR="00FC4BA0" w:rsidRPr="00DB58BF">
        <w:t xml:space="preserve"> and </w:t>
      </w:r>
      <w:proofErr w:type="spellStart"/>
      <w:r w:rsidR="00FC4BA0" w:rsidRPr="00DB58BF">
        <w:t>increasing</w:t>
      </w:r>
      <w:proofErr w:type="spellEnd"/>
      <w:r w:rsidR="00FC4BA0" w:rsidRPr="00DB58BF">
        <w:t xml:space="preserve"> </w:t>
      </w:r>
      <w:proofErr w:type="spellStart"/>
      <w:r w:rsidR="00FC4BA0" w:rsidRPr="00DB58BF">
        <w:t>diffusion</w:t>
      </w:r>
      <w:proofErr w:type="spellEnd"/>
      <w:r w:rsidR="00FC4BA0" w:rsidRPr="00DB58BF">
        <w:t xml:space="preserve"> </w:t>
      </w:r>
      <w:proofErr w:type="spellStart"/>
      <w:r w:rsidR="00FC4BA0" w:rsidRPr="00DB58BF">
        <w:t>distance</w:t>
      </w:r>
      <w:proofErr w:type="spellEnd"/>
      <w:r w:rsidR="00FC4BA0" w:rsidRPr="00DB58BF">
        <w:t xml:space="preserve">, </w:t>
      </w:r>
      <w:proofErr w:type="spellStart"/>
      <w:r w:rsidR="00FC4BA0" w:rsidRPr="00DB58BF">
        <w:t>ultimately</w:t>
      </w:r>
      <w:proofErr w:type="spellEnd"/>
      <w:r w:rsidR="00FC4BA0" w:rsidRPr="00DB58BF">
        <w:t xml:space="preserve"> </w:t>
      </w:r>
      <w:proofErr w:type="spellStart"/>
      <w:r w:rsidR="00FC4BA0" w:rsidRPr="00DB58BF">
        <w:t>leading</w:t>
      </w:r>
      <w:proofErr w:type="spellEnd"/>
      <w:r w:rsidR="00FC4BA0" w:rsidRPr="00DB58BF">
        <w:t xml:space="preserve"> </w:t>
      </w:r>
      <w:proofErr w:type="spellStart"/>
      <w:r w:rsidR="00FC4BA0" w:rsidRPr="00DB58BF">
        <w:t>to</w:t>
      </w:r>
      <w:proofErr w:type="spellEnd"/>
      <w:r w:rsidR="00FC4BA0" w:rsidRPr="00DB58BF">
        <w:t xml:space="preserve"> more </w:t>
      </w:r>
      <w:proofErr w:type="spellStart"/>
      <w:r w:rsidR="00FC4BA0" w:rsidRPr="00DB58BF">
        <w:t>severe</w:t>
      </w:r>
      <w:proofErr w:type="spellEnd"/>
      <w:r w:rsidR="00FC4BA0" w:rsidRPr="00DB58BF">
        <w:t xml:space="preserve"> </w:t>
      </w:r>
      <w:proofErr w:type="spellStart"/>
      <w:r w:rsidR="00FC4BA0" w:rsidRPr="00DB58BF">
        <w:t>hypoxemia</w:t>
      </w:r>
      <w:proofErr w:type="spellEnd"/>
      <w:r w:rsidR="00FC4BA0" w:rsidRPr="00DB58BF">
        <w:t>.</w:t>
      </w:r>
      <w:r w:rsidR="00BF5E1C" w:rsidRPr="00DB58BF">
        <w:t xml:space="preserve"> </w:t>
      </w:r>
      <w:proofErr w:type="spellStart"/>
      <w:r w:rsidR="000E3931" w:rsidRPr="00DB58BF">
        <w:t>Studies</w:t>
      </w:r>
      <w:proofErr w:type="spellEnd"/>
      <w:r w:rsidR="000E3931" w:rsidRPr="00DB58BF">
        <w:t xml:space="preserve"> in </w:t>
      </w:r>
      <w:proofErr w:type="spellStart"/>
      <w:r w:rsidR="000E3931" w:rsidRPr="00DB58BF">
        <w:t>conditions</w:t>
      </w:r>
      <w:proofErr w:type="spellEnd"/>
      <w:r w:rsidR="000E3931" w:rsidRPr="00DB58BF">
        <w:t xml:space="preserve"> </w:t>
      </w:r>
      <w:proofErr w:type="spellStart"/>
      <w:r w:rsidR="000E3931" w:rsidRPr="00DB58BF">
        <w:t>other</w:t>
      </w:r>
      <w:proofErr w:type="spellEnd"/>
      <w:r w:rsidR="000E3931" w:rsidRPr="00DB58BF">
        <w:t xml:space="preserve"> </w:t>
      </w:r>
      <w:proofErr w:type="spellStart"/>
      <w:r w:rsidR="000E3931" w:rsidRPr="00DB58BF">
        <w:t>than</w:t>
      </w:r>
      <w:proofErr w:type="spellEnd"/>
      <w:r w:rsidR="000E3931" w:rsidRPr="00DB58BF">
        <w:t xml:space="preserve"> ARDS </w:t>
      </w:r>
      <w:proofErr w:type="spellStart"/>
      <w:r w:rsidR="000E3931" w:rsidRPr="00DB58BF">
        <w:t>have</w:t>
      </w:r>
      <w:proofErr w:type="spellEnd"/>
      <w:r w:rsidR="000E3931" w:rsidRPr="00DB58BF">
        <w:t xml:space="preserve"> </w:t>
      </w:r>
      <w:proofErr w:type="spellStart"/>
      <w:r w:rsidR="000E3931" w:rsidRPr="00DB58BF">
        <w:t>suggested</w:t>
      </w:r>
      <w:proofErr w:type="spellEnd"/>
      <w:r w:rsidR="000E3931" w:rsidRPr="00DB58BF">
        <w:t xml:space="preserve"> </w:t>
      </w:r>
      <w:proofErr w:type="spellStart"/>
      <w:r w:rsidR="000E3931" w:rsidRPr="00DB58BF">
        <w:t>that</w:t>
      </w:r>
      <w:proofErr w:type="spellEnd"/>
      <w:r w:rsidR="000E3931" w:rsidRPr="00DB58BF">
        <w:t xml:space="preserve"> </w:t>
      </w:r>
      <w:proofErr w:type="spellStart"/>
      <w:r w:rsidR="000E3931" w:rsidRPr="00DB58BF">
        <w:t>extracorporeal</w:t>
      </w:r>
      <w:proofErr w:type="spellEnd"/>
      <w:r w:rsidR="000E3931" w:rsidRPr="00DB58BF">
        <w:t xml:space="preserve"> </w:t>
      </w:r>
      <w:proofErr w:type="spellStart"/>
      <w:r w:rsidR="000E3931" w:rsidRPr="00DB58BF">
        <w:t>adsorption</w:t>
      </w:r>
      <w:proofErr w:type="spellEnd"/>
      <w:r w:rsidR="000E3931" w:rsidRPr="00DB58BF">
        <w:t xml:space="preserve"> of </w:t>
      </w:r>
      <w:proofErr w:type="spellStart"/>
      <w:r w:rsidR="000E3931" w:rsidRPr="00DB58BF">
        <w:t>vasoactive</w:t>
      </w:r>
      <w:proofErr w:type="spellEnd"/>
      <w:r w:rsidR="000E3931" w:rsidRPr="00DB58BF">
        <w:t xml:space="preserve"> </w:t>
      </w:r>
      <w:proofErr w:type="spellStart"/>
      <w:r w:rsidR="000E3931" w:rsidRPr="00DB58BF">
        <w:t>substances</w:t>
      </w:r>
      <w:proofErr w:type="spellEnd"/>
      <w:r w:rsidR="000E3931" w:rsidRPr="00DB58BF">
        <w:t xml:space="preserve"> </w:t>
      </w:r>
      <w:proofErr w:type="spellStart"/>
      <w:r w:rsidR="000E3931" w:rsidRPr="00DB58BF">
        <w:t>may</w:t>
      </w:r>
      <w:proofErr w:type="spellEnd"/>
      <w:r w:rsidR="000E3931" w:rsidRPr="00DB58BF">
        <w:t xml:space="preserve"> </w:t>
      </w:r>
      <w:proofErr w:type="spellStart"/>
      <w:r w:rsidR="000E3931" w:rsidRPr="00DB58BF">
        <w:t>reduce</w:t>
      </w:r>
      <w:proofErr w:type="spellEnd"/>
      <w:r w:rsidR="000E3931" w:rsidRPr="00DB58BF">
        <w:t xml:space="preserve"> </w:t>
      </w:r>
      <w:proofErr w:type="spellStart"/>
      <w:r w:rsidR="000E3931" w:rsidRPr="00DB58BF">
        <w:t>circulating</w:t>
      </w:r>
      <w:proofErr w:type="spellEnd"/>
      <w:r w:rsidR="000E3931" w:rsidRPr="00DB58BF">
        <w:t xml:space="preserve"> </w:t>
      </w:r>
      <w:proofErr w:type="spellStart"/>
      <w:r w:rsidR="000E3931" w:rsidRPr="00DB58BF">
        <w:t>cytokine</w:t>
      </w:r>
      <w:proofErr w:type="spellEnd"/>
      <w:r w:rsidR="000E3931" w:rsidRPr="00DB58BF">
        <w:t xml:space="preserve"> </w:t>
      </w:r>
      <w:proofErr w:type="spellStart"/>
      <w:r w:rsidR="000E3931" w:rsidRPr="00DB58BF">
        <w:t>concentrations</w:t>
      </w:r>
      <w:proofErr w:type="spellEnd"/>
      <w:r w:rsidR="000E3931" w:rsidRPr="00DB58BF">
        <w:t xml:space="preserve"> and </w:t>
      </w:r>
      <w:proofErr w:type="spellStart"/>
      <w:r w:rsidR="000E3931" w:rsidRPr="00DB58BF">
        <w:t>exert</w:t>
      </w:r>
      <w:proofErr w:type="spellEnd"/>
      <w:r w:rsidR="000E3931" w:rsidRPr="00DB58BF">
        <w:t xml:space="preserve"> a </w:t>
      </w:r>
      <w:proofErr w:type="spellStart"/>
      <w:r w:rsidR="000E3931" w:rsidRPr="00DB58BF">
        <w:t>positive</w:t>
      </w:r>
      <w:proofErr w:type="spellEnd"/>
      <w:r w:rsidR="000E3931" w:rsidRPr="00DB58BF">
        <w:t xml:space="preserve"> </w:t>
      </w:r>
      <w:proofErr w:type="spellStart"/>
      <w:r w:rsidR="000E3931" w:rsidRPr="00DB58BF">
        <w:t>effect</w:t>
      </w:r>
      <w:proofErr w:type="spellEnd"/>
      <w:r w:rsidR="000E3931" w:rsidRPr="00DB58BF">
        <w:t xml:space="preserve"> </w:t>
      </w:r>
      <w:proofErr w:type="spellStart"/>
      <w:r w:rsidR="000E3931" w:rsidRPr="00DB58BF">
        <w:t>on</w:t>
      </w:r>
      <w:proofErr w:type="spellEnd"/>
      <w:r w:rsidR="000E3931" w:rsidRPr="00DB58BF">
        <w:t xml:space="preserve"> </w:t>
      </w:r>
      <w:proofErr w:type="spellStart"/>
      <w:r w:rsidR="000E3931" w:rsidRPr="00DB58BF">
        <w:t>survival</w:t>
      </w:r>
      <w:proofErr w:type="spellEnd"/>
      <w:r w:rsidR="007C0337" w:rsidRPr="00DB58BF">
        <w:t xml:space="preserve"> </w:t>
      </w:r>
      <w:r w:rsidR="000E3931" w:rsidRPr="00DB58BF">
        <w:fldChar w:fldCharType="begin"/>
      </w:r>
      <w:r w:rsidR="00424694" w:rsidRPr="00DB58BF">
        <w:instrText xml:space="preserve"> ADDIN ZOTERO_ITEM CSL_CITATION {"citationID":"TzjhUsct","properties":{"formattedCitation":"[24\\uc0\\u8211{}27]","plainCitation":"[24–27]","noteIndex":0},"citationItems":[{"id":421,"uris":["http://zotero.org/users/local/L5HAWlIW/items/CBZA97VA"],"itemData":{"id":421,"type":"article-journal","abstract":"BACKGROUND: We sought to clarify the benefit of cytokine adsorption in patients with COVID-19 supported with venovenous extracorporeal membrane oxygenation (ECMO). METHODS: We did a single-centre, open-label, randomised, controlled trial to investigate cytokine adsorption in adult patients with severe COVID-19 pneumonia requiring ECMO. Patients with COVID-19 selected for ECMO at the Freiburg University Medical Center (Freiburg, Germany) were randomly assigned (1:1) to receive cytokine adsorption using the CytoSorb device or not. Randomisation was computer-generated, allocation was concealed by opaque, sequentially numbered sealed envelopes. The CytoSorb device was incorporated into the ECMO circuit before connection to the patient circuit, replaced every 24 h, and removed after 72 h. The primary endpoint was serum interleukin-6 (IL-6) concentration 72 h after initiation of ECMO analysed by intention to treat. Secondary endpoints included 30-day survival. The trial is registered with ClinicalTrials.gov (NCT04324528) and the German Clinical Trials Register (DRKS00021300) and is closed. FINDINGS: From March 29, 2020, to Dec 29, 2020, of 34 patients assessed for eligibility, 17 (50%) were treated with cytokine adsorption and 17 (50%) without. Median IL-6 decreased from 357·0 pg/mL to 98·6 pg/mL in patients randomly assigned to cytokine adsorption and from 289·0 pg/mL to 112·0 pg/mL in the control group after 72 h. One patient in each group died before 72 h. Adjusted mean log IL-6 concentrations after 72 h were 0·30 higher in the cytokine adsorption group (95% CI -0·70 to 1·30, p=0·54). Survival after 30 days was three (18%) of 17 with cytokine adsorption and 13 (76%) of 17 without cytokine adsorption (p=0·0016). INTERPRETATION: Early initiation of cytokine adsorption in patients with severe COVID-19 and venovenous ECMO did not reduce serum IL-6 and had a negative effect on survival. Cytokine adsorption should not be used during the first days of ECMO support in COVID-19. FUNDING: None.","container-title":"The Lancet. Respiratory medicine","DOI":"10.1016/s2213-2600(21)00177-6","issue":"7","page":"755-762","title":"Cytokine adsorption in patients with severe COVID-19 pneumonia requiring extracorporeal membrane oxygenation (CYCOV): a single centre, open-label, randomised, controlled trial.","volume":"9","author":[{"family":"Supady","given":"Alexander; Weber","suffix":"Enya; Rieder, Marina; Lother, Achim; Niklaus, Tim; Zahn, Timm; Frech, Franziska; Müller, Sissi; Kuhl, Moritz; Benk, Christoph; Maier, Sven; Trummer, Georg; Flügler, Annabelle; Krüger, Kirsten; Sekandarzad, Asieb; Stachon, Peter; Zotzmann, Viviane; Bode, Christoph; Biever, Paul; Staudacher, Dawid L.; Wengenmayer, Tobias; Graf, Erika; Duerschmied, Daniel"}],"issued":{"date-parts":[["2021"]]}}},{"id":5123,"uris":["http://zotero.org/users/local/L5HAWlIW/items/4PYX7GWU"],"itemData":{"id":5123,"type":"article-journal","abstract":"Abstract\n            \n              Background and aims\n              Innovative treatment modalities have not yet shown a clinical benefit in patients with septic shock. To reduce severe cytokinaemia, CytoSorb as an add-on to continuous renal replacement therapy (CRRT) showed promising results in case reports. However, there are no clinical trials investigating outcomes.\n            \n            \n              Methods\n              \n                In this investigator-initiated retrospective study, patients with septic shock were treated with CRRT + CytoSorb (\n                n\n                 = 67) or CRRT alone (\n                n\n                 = 49). The primary outcome was the 28-day all-cause mortality rate. Patients were weighted by stabilized inverse probability of treatment weights (sIPTW) to overcome differences in baseline characteristics.\n              \n            \n            \n              Results\n              \n                At the start of therapy, CytoSorb-treated patients had higher lactate levels (\n                p\n                 &lt; 0.001), lower mean arterial pressure (\n                p\n                 = 0.007) and higher levels of noradrenaline (\n                p\n                 &lt; 0.001) compared to the CRRT group. For CytoSorb, the mean predicted mortality rate based on a SOFA of 13.8 (\n                n\n                 = 67) was 75% (95%CI 71–79%), while the actual 28-day mortality rate was 48% (mean difference − 27%, 95%CI − 38 to − 15%,\n                p\n                 &lt; 0.001). For CRRT, based on a SOFA of 12.8 (\n                n\n                 = 49), the mean predicted versus observed mortality was 68% versus 51% (mean difference − 16.9% [95%CI − 32.6 to − 1.2%,\n                p\n                 = 0.035]). By sIPTW analysis, patients treated with CytoSorb had a significantly lower 28-day mortality rate compared to CRRT alone (53% vs. 72%, respectively,\n                p\n                 = 0.038). Independent predictors of 28-day mortality in the CytoSorb group were the presence of pneumosepsis (adjusted odds ratio [aOR] 5.47,\n                p\n                 = 0.029), higher levels of lactate at the start of CytoSorb (aOR 1.15,\n                p\n                 = 0.031) and older age (aOR per 10 years 1.67,\n                p\n                 = 0.034).\n              \n            \n            \n              Conclusions\n              CytoSorb was associated with a decreased observed versus expected 28-day all-cause mortality. By IPTW analysis, intervention with CytoSorb may be associated with a decreased all-cause mortality at 28 days compared to CRRT alone.","container-title":"Critical Care","DOI":"10.1186/s13054-019-2588-1","ISSN":"1364-8535","issue":"1","journalAbbreviation":"Crit Care","language":"en","page":"317","source":"DOI.org (Crossref)","title":"Hemoadsorption with CytoSorb shows a decreased observed versus expected 28-day all-cause mortality in ICU patients with septic shock: a propensity-score-weighted retrospective study","title-short":"Hemoadsorption with CytoSorb shows a decreased observed versus expected 28-day all-cause mortality in ICU patients with septic shock","volume":"23","author":[{"family":"Brouwer","given":"Willem Pieter"},{"family":"Duran","given":"Servet"},{"family":"Kuijper","given":"Martijn"},{"family":"Ince","given":"Can"}],"issued":{"date-parts":[["2019",12]]}}},{"id":5125,"uris":["http://zotero.org/users/local/L5HAWlIW/items/G7QZSFRY"],"itemData":{"id":5125,"type":"article-journal","container-title":"Journal of Clinical Immunology","DOI":"10.1007/s10875-017-0377-7","ISSN":"0271-9142, 1573-2592","issue":"3","journalAbbreviation":"J Clin Immunol","language":"en","page":"273-276","source":"DOI.org (Crossref)","title":"Rescue of Cytokine Storm Due to HLH by Hemoadsorption in a CTLA4-Deficient Patient","volume":"37","author":[{"family":"Greil","given":"Christine"},{"family":"Roether","given":"Fabian"},{"family":"La Rosée","given":"Paul"},{"family":"Grimbacher","given":"Bodo"},{"family":"Duerschmied","given":"Daniel"},{"family":"Warnatz","given":"Klaus"}],"issued":{"date-parts":[["2017",4]]}}},{"id":290,"uris":["http://zotero.org/users/local/L5HAWlIW/items/GJDCA7FX"],"itemData":{"id":290,"type":"article-journal","abstract":"Abstract Background The aim of this proof of concept, prospective, randomized pilot trial was to investigate the effects of extracorporeal cytokine removal (CytoSorb®) applied as a standalone treatment in patients with septic shock. Methods 20 patients with early ( 10 μg/min, procalcitonin (PCT) &gt; 3 ng/mL without the need for renal replacement therapy were randomized into CytoSorb (n = 10) and Control groups (n = 10). CytoSorb therapy lasted for 24 h. Clinical and laboratory data were recorded at baseline (T0), T12, T24, and T48 hours. Results Overall SOFA scores did not differ between the groups. In the CytoSorb-group norepinephrine requirements and PCT concentration decreased significantly (norepinephrine: CytoSorb: T0 = 0.54[IQR:0.20–1.22], T48 = 0.16[IQR:0.07–0.48], p = .016; Controls: T0 = 0.43[IQR:0.19–0.64], T48 = 0.25[IQR:0.08–0.65] μg/kg/min; PCT: CytoSorb: T0 median = 20.6[IQR: 6.5–144.5], T48 = 5.6[1.9–54.4], p = .004; Control: T0 = 13.2[7.6–47.8], T48 = 9.2[3.8–44.2]ng/mL). Big-endothelin-1 concentrations were also significantly lower in the CytoSorb group (CytoSorb: T0 = 1.3 ± 0.6, *T24 = 1.0 ± 0.4, T48 = 1.4 ± 0.8, *p = .003; Control: T0 = 1.1 ± 0.7, T24 = 1.1 ± 0.6, T48 = 1.2 ± 0.6 pmol/L, p = .115). There were no CytoSorb therapy-related adverse events. Conclusions This is the first trial to investigate the effects of early extracorporeal cytokine adsorption treatment in septic shock applied without renal replacement therapy. It was found to be safe with significant effects on norepinephrine requirements, PCT and Big-endothelin-1 concentrations compared to controls. Trial registration: The study has been registered on ClinicalTrials.gov , under the registration number of NCT02288975 , registered 13 November 2014.","container-title":"Journal of critical care","DOI":"10.1016/j.jcrc.2018.11.003","issue":"NA","page":"172-178","title":"Extracorporeal cytokine adsorption in septic shock: A proof of concept randomized, controlled pilot study.","volume":"49","author":[{"family":"Hawchar","given":"Fatime; László","suffix":"Ildikó; Öveges, N.; Trásy, Domonkos; Ondrik, Zoltán; Molnár, Zsolt"}],"issued":{"date-parts":[["2018"]]}}}],"schema":"https://github.com/citation-style-language/schema/raw/master/csl-citation.json"} </w:instrText>
      </w:r>
      <w:r w:rsidR="000E3931" w:rsidRPr="00DB58BF">
        <w:fldChar w:fldCharType="separate"/>
      </w:r>
      <w:r w:rsidR="00424694" w:rsidRPr="00DB58BF">
        <w:rPr>
          <w:rFonts w:cs="Times New Roman"/>
          <w:kern w:val="0"/>
        </w:rPr>
        <w:t>[24–27]</w:t>
      </w:r>
      <w:r w:rsidR="000E3931" w:rsidRPr="00DB58BF">
        <w:fldChar w:fldCharType="end"/>
      </w:r>
      <w:r w:rsidR="000E3931" w:rsidRPr="00DB58BF">
        <w:t xml:space="preserve">. </w:t>
      </w:r>
      <w:r w:rsidR="00FC4BA0" w:rsidRPr="00DB58BF">
        <w:rPr>
          <w:lang w:val="en-US"/>
        </w:rPr>
        <w:t>T</w:t>
      </w:r>
      <w:r w:rsidR="00002C2B" w:rsidRPr="00DB58BF">
        <w:rPr>
          <w:lang w:val="en-US"/>
        </w:rPr>
        <w:t>his provides a rationale for</w:t>
      </w:r>
      <w:r w:rsidR="003A1AE8" w:rsidRPr="00DB58BF">
        <w:rPr>
          <w:lang w:val="en-US"/>
        </w:rPr>
        <w:t xml:space="preserve"> investigating</w:t>
      </w:r>
      <w:r w:rsidR="00002C2B" w:rsidRPr="00DB58BF">
        <w:rPr>
          <w:lang w:val="en-US"/>
        </w:rPr>
        <w:t xml:space="preserve"> </w:t>
      </w:r>
      <w:r w:rsidR="00617A92" w:rsidRPr="00DB58BF">
        <w:rPr>
          <w:lang w:val="en-US"/>
        </w:rPr>
        <w:t xml:space="preserve">the </w:t>
      </w:r>
      <w:r w:rsidR="00130621" w:rsidRPr="00DB58BF">
        <w:rPr>
          <w:lang w:val="en-US"/>
        </w:rPr>
        <w:t xml:space="preserve">effects and </w:t>
      </w:r>
      <w:proofErr w:type="spellStart"/>
      <w:r w:rsidR="00130621" w:rsidRPr="00DB58BF">
        <w:rPr>
          <w:lang w:val="en-US"/>
        </w:rPr>
        <w:t>potencial</w:t>
      </w:r>
      <w:proofErr w:type="spellEnd"/>
      <w:r w:rsidR="00130621" w:rsidRPr="00DB58BF">
        <w:rPr>
          <w:lang w:val="en-US"/>
        </w:rPr>
        <w:t xml:space="preserve"> </w:t>
      </w:r>
      <w:r w:rsidR="009F7C5A" w:rsidRPr="00DB58BF">
        <w:rPr>
          <w:lang w:val="en-US"/>
        </w:rPr>
        <w:t xml:space="preserve">role of </w:t>
      </w:r>
      <w:r w:rsidR="00002C2B" w:rsidRPr="00DB58BF">
        <w:rPr>
          <w:lang w:val="en-US"/>
        </w:rPr>
        <w:t xml:space="preserve">immunomodulatory therapies, such as </w:t>
      </w:r>
      <w:proofErr w:type="spellStart"/>
      <w:r w:rsidR="00002C2B" w:rsidRPr="00DB58BF">
        <w:rPr>
          <w:lang w:val="en-US"/>
        </w:rPr>
        <w:t>hemoadsorption</w:t>
      </w:r>
      <w:proofErr w:type="spellEnd"/>
      <w:r w:rsidR="00424694" w:rsidRPr="00DB58BF">
        <w:rPr>
          <w:lang w:val="en-US"/>
        </w:rPr>
        <w:t xml:space="preserve"> </w:t>
      </w:r>
      <w:r w:rsidR="00130621" w:rsidRPr="00DB58BF">
        <w:rPr>
          <w:lang w:val="en-US"/>
        </w:rPr>
        <w:t>in improving oxygenation in ARDS</w:t>
      </w:r>
      <w:r w:rsidR="00D5482D" w:rsidRPr="00DB58BF">
        <w:rPr>
          <w:lang w:val="en-US"/>
        </w:rPr>
        <w:t>.</w:t>
      </w:r>
      <w:r w:rsidR="00617A92" w:rsidRPr="00DB58BF">
        <w:rPr>
          <w:lang w:val="en-US"/>
        </w:rPr>
        <w:t xml:space="preserve"> </w:t>
      </w:r>
      <w:proofErr w:type="spellStart"/>
      <w:r w:rsidR="0022726B" w:rsidRPr="00DB58BF">
        <w:t>Although</w:t>
      </w:r>
      <w:proofErr w:type="spellEnd"/>
      <w:r w:rsidR="0022726B" w:rsidRPr="00DB58BF">
        <w:t xml:space="preserve"> </w:t>
      </w:r>
      <w:proofErr w:type="spellStart"/>
      <w:r w:rsidR="0022726B" w:rsidRPr="00DB58BF">
        <w:t>publications</w:t>
      </w:r>
      <w:proofErr w:type="spellEnd"/>
      <w:r w:rsidR="0022726B" w:rsidRPr="00DB58BF">
        <w:t xml:space="preserve"> </w:t>
      </w:r>
      <w:proofErr w:type="spellStart"/>
      <w:r w:rsidR="0022726B" w:rsidRPr="00DB58BF">
        <w:t>on</w:t>
      </w:r>
      <w:proofErr w:type="spellEnd"/>
      <w:r w:rsidR="0022726B" w:rsidRPr="00DB58BF">
        <w:t xml:space="preserve"> </w:t>
      </w:r>
      <w:proofErr w:type="spellStart"/>
      <w:r w:rsidR="0022726B" w:rsidRPr="00DB58BF">
        <w:t>the</w:t>
      </w:r>
      <w:proofErr w:type="spellEnd"/>
      <w:r w:rsidR="0022726B" w:rsidRPr="00DB58BF">
        <w:t xml:space="preserve"> </w:t>
      </w:r>
      <w:proofErr w:type="spellStart"/>
      <w:r w:rsidR="0022726B" w:rsidRPr="00DB58BF">
        <w:t>pathophysiological</w:t>
      </w:r>
      <w:proofErr w:type="spellEnd"/>
      <w:r w:rsidR="0022726B" w:rsidRPr="00DB58BF">
        <w:t xml:space="preserve"> </w:t>
      </w:r>
      <w:proofErr w:type="spellStart"/>
      <w:r w:rsidR="0022726B" w:rsidRPr="00DB58BF">
        <w:t>rationale</w:t>
      </w:r>
      <w:proofErr w:type="spellEnd"/>
      <w:r w:rsidR="0022726B" w:rsidRPr="00DB58BF">
        <w:t xml:space="preserve"> and </w:t>
      </w:r>
      <w:proofErr w:type="spellStart"/>
      <w:r w:rsidR="0022726B" w:rsidRPr="00DB58BF">
        <w:t>clinical</w:t>
      </w:r>
      <w:proofErr w:type="spellEnd"/>
      <w:r w:rsidR="0022726B" w:rsidRPr="00DB58BF">
        <w:t xml:space="preserve"> </w:t>
      </w:r>
      <w:proofErr w:type="spellStart"/>
      <w:r w:rsidR="0022726B" w:rsidRPr="00DB58BF">
        <w:t>use</w:t>
      </w:r>
      <w:proofErr w:type="spellEnd"/>
      <w:r w:rsidR="0022726B" w:rsidRPr="00DB58BF">
        <w:t xml:space="preserve"> of </w:t>
      </w:r>
      <w:proofErr w:type="spellStart"/>
      <w:r w:rsidR="0022726B" w:rsidRPr="00DB58BF">
        <w:t>hemoadsorption</w:t>
      </w:r>
      <w:proofErr w:type="spellEnd"/>
      <w:r w:rsidR="0022726B" w:rsidRPr="00DB58BF">
        <w:t xml:space="preserve"> in </w:t>
      </w:r>
      <w:proofErr w:type="spellStart"/>
      <w:r w:rsidR="0022726B" w:rsidRPr="00DB58BF">
        <w:t>severe</w:t>
      </w:r>
      <w:proofErr w:type="spellEnd"/>
      <w:r w:rsidR="0022726B" w:rsidRPr="00DB58BF">
        <w:t xml:space="preserve"> </w:t>
      </w:r>
      <w:proofErr w:type="spellStart"/>
      <w:r w:rsidR="0022726B" w:rsidRPr="00DB58BF">
        <w:t>acute</w:t>
      </w:r>
      <w:proofErr w:type="spellEnd"/>
      <w:r w:rsidR="0022726B" w:rsidRPr="00DB58BF">
        <w:t xml:space="preserve"> </w:t>
      </w:r>
      <w:proofErr w:type="spellStart"/>
      <w:r w:rsidR="0022726B" w:rsidRPr="00DB58BF">
        <w:t>respiratory</w:t>
      </w:r>
      <w:proofErr w:type="spellEnd"/>
      <w:r w:rsidR="0022726B" w:rsidRPr="00DB58BF">
        <w:t xml:space="preserve"> </w:t>
      </w:r>
      <w:proofErr w:type="spellStart"/>
      <w:r w:rsidR="0022726B" w:rsidRPr="00DB58BF">
        <w:t>failure</w:t>
      </w:r>
      <w:proofErr w:type="spellEnd"/>
      <w:r w:rsidR="0022726B" w:rsidRPr="00DB58BF">
        <w:t xml:space="preserve"> </w:t>
      </w:r>
      <w:proofErr w:type="spellStart"/>
      <w:r w:rsidR="0022726B" w:rsidRPr="00DB58BF">
        <w:t>have</w:t>
      </w:r>
      <w:proofErr w:type="spellEnd"/>
      <w:r w:rsidR="0022726B" w:rsidRPr="00DB58BF">
        <w:t xml:space="preserve"> </w:t>
      </w:r>
      <w:proofErr w:type="spellStart"/>
      <w:r w:rsidR="0022726B" w:rsidRPr="00DB58BF">
        <w:t>increased</w:t>
      </w:r>
      <w:proofErr w:type="spellEnd"/>
      <w:r w:rsidR="0022726B" w:rsidRPr="00DB58BF">
        <w:t xml:space="preserve"> over </w:t>
      </w:r>
      <w:proofErr w:type="spellStart"/>
      <w:r w:rsidR="0022726B" w:rsidRPr="00DB58BF">
        <w:t>the</w:t>
      </w:r>
      <w:proofErr w:type="spellEnd"/>
      <w:r w:rsidR="0022726B" w:rsidRPr="00DB58BF">
        <w:t xml:space="preserve"> </w:t>
      </w:r>
      <w:proofErr w:type="spellStart"/>
      <w:r w:rsidR="0022726B" w:rsidRPr="00DB58BF">
        <w:t>past</w:t>
      </w:r>
      <w:proofErr w:type="spellEnd"/>
      <w:r w:rsidR="0022726B" w:rsidRPr="00DB58BF">
        <w:t xml:space="preserve"> </w:t>
      </w:r>
      <w:proofErr w:type="spellStart"/>
      <w:r w:rsidR="0022726B" w:rsidRPr="00DB58BF">
        <w:t>eight</w:t>
      </w:r>
      <w:proofErr w:type="spellEnd"/>
      <w:r w:rsidR="0022726B" w:rsidRPr="00DB58BF">
        <w:t xml:space="preserve"> </w:t>
      </w:r>
      <w:proofErr w:type="spellStart"/>
      <w:r w:rsidR="0022726B" w:rsidRPr="00DB58BF">
        <w:t>years</w:t>
      </w:r>
      <w:proofErr w:type="spellEnd"/>
      <w:r w:rsidR="0022726B" w:rsidRPr="00DB58BF">
        <w:t xml:space="preserve">, </w:t>
      </w:r>
      <w:proofErr w:type="spellStart"/>
      <w:r w:rsidR="0022726B" w:rsidRPr="00DB58BF">
        <w:t>solid</w:t>
      </w:r>
      <w:proofErr w:type="spellEnd"/>
      <w:r w:rsidR="0022726B" w:rsidRPr="00DB58BF">
        <w:t xml:space="preserve"> </w:t>
      </w:r>
      <w:proofErr w:type="spellStart"/>
      <w:r w:rsidR="0022726B" w:rsidRPr="00DB58BF">
        <w:t>evidence</w:t>
      </w:r>
      <w:proofErr w:type="spellEnd"/>
      <w:r w:rsidR="0022726B" w:rsidRPr="00DB58BF">
        <w:t xml:space="preserve"> </w:t>
      </w:r>
      <w:proofErr w:type="spellStart"/>
      <w:r w:rsidR="0022726B" w:rsidRPr="00DB58BF">
        <w:t>to</w:t>
      </w:r>
      <w:proofErr w:type="spellEnd"/>
      <w:r w:rsidR="0022726B" w:rsidRPr="00DB58BF">
        <w:t xml:space="preserve"> </w:t>
      </w:r>
      <w:proofErr w:type="spellStart"/>
      <w:r w:rsidR="0022726B" w:rsidRPr="00DB58BF">
        <w:t>define</w:t>
      </w:r>
      <w:proofErr w:type="spellEnd"/>
      <w:r w:rsidR="0022726B" w:rsidRPr="00DB58BF">
        <w:t xml:space="preserve"> </w:t>
      </w:r>
      <w:proofErr w:type="spellStart"/>
      <w:r w:rsidR="0022726B" w:rsidRPr="00DB58BF">
        <w:t>its</w:t>
      </w:r>
      <w:proofErr w:type="spellEnd"/>
      <w:r w:rsidR="0022726B" w:rsidRPr="00DB58BF">
        <w:t xml:space="preserve"> overall </w:t>
      </w:r>
      <w:proofErr w:type="spellStart"/>
      <w:r w:rsidR="0022726B" w:rsidRPr="00DB58BF">
        <w:t>role</w:t>
      </w:r>
      <w:proofErr w:type="spellEnd"/>
      <w:r w:rsidR="0022726B" w:rsidRPr="00DB58BF">
        <w:t xml:space="preserve"> </w:t>
      </w:r>
      <w:proofErr w:type="spellStart"/>
      <w:r w:rsidR="0022726B" w:rsidRPr="00DB58BF">
        <w:t>remains</w:t>
      </w:r>
      <w:proofErr w:type="spellEnd"/>
      <w:r w:rsidR="0022726B" w:rsidRPr="00DB58BF">
        <w:t xml:space="preserve"> </w:t>
      </w:r>
      <w:proofErr w:type="spellStart"/>
      <w:r w:rsidR="0022726B" w:rsidRPr="00DB58BF">
        <w:t>lacking</w:t>
      </w:r>
      <w:proofErr w:type="spellEnd"/>
      <w:r w:rsidR="0022726B" w:rsidRPr="00DB58BF">
        <w:t>.</w:t>
      </w:r>
    </w:p>
    <w:p w14:paraId="4A6F9566" w14:textId="77777777" w:rsidR="009D62C6" w:rsidRPr="00DB58BF" w:rsidRDefault="009D62C6" w:rsidP="0036711F">
      <w:pPr>
        <w:rPr>
          <w:rFonts w:eastAsiaTheme="majorEastAsia" w:cstheme="majorBidi"/>
          <w:b/>
          <w:lang w:val="en-US"/>
        </w:rPr>
      </w:pPr>
      <w:r w:rsidRPr="00DB58BF">
        <w:rPr>
          <w:lang w:val="en-US"/>
        </w:rPr>
        <w:br w:type="page"/>
      </w:r>
    </w:p>
    <w:p w14:paraId="23287AE3" w14:textId="35806440" w:rsidR="00B41FBB" w:rsidRPr="00DB58BF" w:rsidRDefault="00B41FBB" w:rsidP="0036711F">
      <w:pPr>
        <w:pStyle w:val="Heading1"/>
        <w:rPr>
          <w:b w:val="0"/>
          <w:szCs w:val="24"/>
          <w:lang w:val="en-US"/>
        </w:rPr>
      </w:pPr>
      <w:bookmarkStart w:id="11" w:name="_Toc211542190"/>
      <w:r w:rsidRPr="00DB58BF">
        <w:rPr>
          <w:szCs w:val="24"/>
          <w:lang w:val="en-US"/>
        </w:rPr>
        <w:lastRenderedPageBreak/>
        <w:t>6. OBJECTIVES</w:t>
      </w:r>
      <w:bookmarkEnd w:id="11"/>
    </w:p>
    <w:p w14:paraId="2C46FF70" w14:textId="77777777" w:rsidR="007F5178" w:rsidRPr="00DB58BF" w:rsidRDefault="00B41FBB" w:rsidP="007F5178">
      <w:pPr>
        <w:pStyle w:val="Heading2"/>
        <w:rPr>
          <w:szCs w:val="24"/>
          <w:lang w:val="en-US"/>
        </w:rPr>
      </w:pPr>
      <w:bookmarkStart w:id="12" w:name="_Toc211542191"/>
      <w:r w:rsidRPr="00DB58BF">
        <w:rPr>
          <w:szCs w:val="24"/>
          <w:lang w:val="en-US"/>
        </w:rPr>
        <w:t xml:space="preserve">6.1. Study I. </w:t>
      </w:r>
      <w:r w:rsidR="001E5760" w:rsidRPr="00DB58BF">
        <w:rPr>
          <w:szCs w:val="24"/>
          <w:lang w:val="en-US"/>
        </w:rPr>
        <w:t xml:space="preserve">– </w:t>
      </w:r>
      <w:r w:rsidR="007F5178" w:rsidRPr="00DB58BF">
        <w:rPr>
          <w:szCs w:val="24"/>
          <w:lang w:val="en-US"/>
        </w:rPr>
        <w:t>Individualized vs. fixed intraoperative PEEP settings</w:t>
      </w:r>
      <w:bookmarkEnd w:id="12"/>
      <w:r w:rsidR="007F5178" w:rsidRPr="00DB58BF">
        <w:rPr>
          <w:szCs w:val="24"/>
          <w:lang w:val="en-US"/>
        </w:rPr>
        <w:t xml:space="preserve"> </w:t>
      </w:r>
    </w:p>
    <w:p w14:paraId="3A0A4A63" w14:textId="07849963" w:rsidR="006516A5" w:rsidRPr="00DB58BF" w:rsidRDefault="00814753" w:rsidP="007F5178">
      <w:pPr>
        <w:rPr>
          <w:lang w:val="en-US"/>
        </w:rPr>
      </w:pPr>
      <w:r w:rsidRPr="00DB58BF">
        <w:rPr>
          <w:lang w:val="en-US"/>
        </w:rPr>
        <w:t xml:space="preserve">Conducting a </w:t>
      </w:r>
      <w:r w:rsidR="00945511" w:rsidRPr="00DB58BF">
        <w:rPr>
          <w:lang w:val="en-US"/>
        </w:rPr>
        <w:t xml:space="preserve">systematic review and meta-analysis </w:t>
      </w:r>
      <w:r w:rsidRPr="00DB58BF">
        <w:rPr>
          <w:lang w:val="en-US"/>
        </w:rPr>
        <w:t xml:space="preserve">we </w:t>
      </w:r>
      <w:r w:rsidR="00945511" w:rsidRPr="00DB58BF">
        <w:rPr>
          <w:lang w:val="en-US"/>
        </w:rPr>
        <w:t xml:space="preserve">aimed to assess the perioperative effects of two mechanical ventilation strategies in patients undergoing abdominal surgery: </w:t>
      </w:r>
      <w:r w:rsidR="00FA5B8D" w:rsidRPr="00DB58BF">
        <w:rPr>
          <w:lang w:val="en-US"/>
        </w:rPr>
        <w:t xml:space="preserve">using </w:t>
      </w:r>
      <w:r w:rsidR="00945511" w:rsidRPr="00DB58BF">
        <w:rPr>
          <w:lang w:val="en-US"/>
        </w:rPr>
        <w:t xml:space="preserve">individualized PEEP titration methods versus conventional fixed PEEP settings maintained throughout the surgical procedure. </w:t>
      </w:r>
      <w:r w:rsidR="003B4291" w:rsidRPr="00DB58BF">
        <w:rPr>
          <w:lang w:val="en-US"/>
        </w:rPr>
        <w:t>We h</w:t>
      </w:r>
      <w:r w:rsidR="00EC0441" w:rsidRPr="00DB58BF">
        <w:rPr>
          <w:lang w:val="en-US"/>
        </w:rPr>
        <w:t>y</w:t>
      </w:r>
      <w:r w:rsidR="003B4291" w:rsidRPr="00DB58BF">
        <w:rPr>
          <w:lang w:val="en-US"/>
        </w:rPr>
        <w:t>pothesi</w:t>
      </w:r>
      <w:r w:rsidR="00EC0441" w:rsidRPr="00DB58BF">
        <w:rPr>
          <w:lang w:val="en-US"/>
        </w:rPr>
        <w:t>z</w:t>
      </w:r>
      <w:r w:rsidR="003B4291" w:rsidRPr="00DB58BF">
        <w:rPr>
          <w:lang w:val="en-US"/>
        </w:rPr>
        <w:t xml:space="preserve">ed that individualized </w:t>
      </w:r>
      <w:proofErr w:type="gramStart"/>
      <w:r w:rsidR="00EC0441" w:rsidRPr="00DB58BF">
        <w:rPr>
          <w:lang w:val="en-US"/>
        </w:rPr>
        <w:t>approach is</w:t>
      </w:r>
      <w:proofErr w:type="gramEnd"/>
      <w:r w:rsidR="003B4291" w:rsidRPr="00DB58BF">
        <w:rPr>
          <w:lang w:val="en-US"/>
        </w:rPr>
        <w:t xml:space="preserve"> superior </w:t>
      </w:r>
      <w:r w:rsidR="00DF36D2" w:rsidRPr="00DB58BF">
        <w:rPr>
          <w:lang w:val="en-US"/>
        </w:rPr>
        <w:t>and may reduce the incidence of PPCs.</w:t>
      </w:r>
    </w:p>
    <w:p w14:paraId="3BE44A00" w14:textId="5B496BD3" w:rsidR="007F5178" w:rsidRPr="00DB58BF" w:rsidRDefault="00B41FBB" w:rsidP="007F5178">
      <w:pPr>
        <w:pStyle w:val="Heading2"/>
        <w:rPr>
          <w:szCs w:val="24"/>
          <w:lang w:val="en-US"/>
        </w:rPr>
      </w:pPr>
      <w:bookmarkStart w:id="13" w:name="_Toc211542192"/>
      <w:r w:rsidRPr="00DB58BF">
        <w:rPr>
          <w:szCs w:val="24"/>
          <w:lang w:val="en-US"/>
        </w:rPr>
        <w:t xml:space="preserve">6.2. </w:t>
      </w:r>
      <w:r w:rsidR="007F5178" w:rsidRPr="00DB58BF">
        <w:rPr>
          <w:szCs w:val="24"/>
          <w:lang w:val="en-US"/>
        </w:rPr>
        <w:t xml:space="preserve">Study II. – </w:t>
      </w:r>
      <w:proofErr w:type="spellStart"/>
      <w:r w:rsidR="007F5178" w:rsidRPr="00DB58BF">
        <w:rPr>
          <w:szCs w:val="24"/>
          <w:lang w:val="en-US"/>
        </w:rPr>
        <w:t>Hem</w:t>
      </w:r>
      <w:r w:rsidR="004A5249" w:rsidRPr="00DB58BF">
        <w:rPr>
          <w:szCs w:val="24"/>
          <w:lang w:val="en-US"/>
        </w:rPr>
        <w:t>o</w:t>
      </w:r>
      <w:r w:rsidR="007F5178" w:rsidRPr="00DB58BF">
        <w:rPr>
          <w:szCs w:val="24"/>
          <w:lang w:val="en-US"/>
        </w:rPr>
        <w:t>adsorption</w:t>
      </w:r>
      <w:proofErr w:type="spellEnd"/>
      <w:r w:rsidR="007F5178" w:rsidRPr="00DB58BF">
        <w:rPr>
          <w:szCs w:val="24"/>
          <w:lang w:val="en-US"/>
        </w:rPr>
        <w:t xml:space="preserve"> as Adjuvant Therapy in ARDS</w:t>
      </w:r>
      <w:bookmarkEnd w:id="13"/>
      <w:r w:rsidR="007F5178" w:rsidRPr="00DB58BF">
        <w:rPr>
          <w:szCs w:val="24"/>
          <w:lang w:val="en-US"/>
        </w:rPr>
        <w:t xml:space="preserve"> </w:t>
      </w:r>
    </w:p>
    <w:p w14:paraId="26C68208" w14:textId="174DCEB9" w:rsidR="00EB4409" w:rsidRPr="00DB58BF" w:rsidRDefault="004526F1" w:rsidP="007F5178">
      <w:pPr>
        <w:rPr>
          <w:lang w:val="en-US"/>
        </w:rPr>
      </w:pPr>
      <w:r w:rsidRPr="00DB58BF">
        <w:rPr>
          <w:lang w:val="en-US"/>
        </w:rPr>
        <w:t>Given the current lack</w:t>
      </w:r>
      <w:r w:rsidR="00EC0441" w:rsidRPr="00DB58BF">
        <w:rPr>
          <w:lang w:val="en-US"/>
        </w:rPr>
        <w:t xml:space="preserve"> of</w:t>
      </w:r>
      <w:r w:rsidRPr="00DB58BF">
        <w:rPr>
          <w:lang w:val="en-US"/>
        </w:rPr>
        <w:t xml:space="preserve"> solid evidence in the literature, </w:t>
      </w:r>
      <w:r w:rsidR="00EC0441" w:rsidRPr="00DB58BF">
        <w:rPr>
          <w:lang w:val="en-US"/>
        </w:rPr>
        <w:t xml:space="preserve">our aim </w:t>
      </w:r>
      <w:proofErr w:type="gramStart"/>
      <w:r w:rsidR="00EC0441" w:rsidRPr="00DB58BF">
        <w:rPr>
          <w:lang w:val="en-US"/>
        </w:rPr>
        <w:t>was to</w:t>
      </w:r>
      <w:proofErr w:type="gramEnd"/>
      <w:r w:rsidR="0007513E" w:rsidRPr="00DB58BF">
        <w:rPr>
          <w:lang w:val="en-US"/>
        </w:rPr>
        <w:t xml:space="preserve"> </w:t>
      </w:r>
      <w:proofErr w:type="spellStart"/>
      <w:r w:rsidR="0007513E" w:rsidRPr="00DB58BF">
        <w:rPr>
          <w:lang w:val="en-US"/>
        </w:rPr>
        <w:t>to</w:t>
      </w:r>
      <w:proofErr w:type="spellEnd"/>
      <w:r w:rsidR="0007513E" w:rsidRPr="00DB58BF">
        <w:rPr>
          <w:lang w:val="en-US"/>
        </w:rPr>
        <w:t xml:space="preserve"> </w:t>
      </w:r>
      <w:r w:rsidRPr="00DB58BF">
        <w:rPr>
          <w:lang w:val="en-US"/>
        </w:rPr>
        <w:t>summarize</w:t>
      </w:r>
      <w:r w:rsidR="0007513E" w:rsidRPr="00DB58BF">
        <w:rPr>
          <w:lang w:val="en-US"/>
        </w:rPr>
        <w:t xml:space="preserve"> the</w:t>
      </w:r>
      <w:r w:rsidR="00EC0441" w:rsidRPr="00DB58BF">
        <w:rPr>
          <w:lang w:val="en-US"/>
        </w:rPr>
        <w:t xml:space="preserve"> existing data and</w:t>
      </w:r>
      <w:r w:rsidR="0007513E" w:rsidRPr="00DB58BF">
        <w:rPr>
          <w:lang w:val="en-US"/>
        </w:rPr>
        <w:t xml:space="preserve"> currently available evidence </w:t>
      </w:r>
      <w:r w:rsidR="00EC0441" w:rsidRPr="00DB58BF">
        <w:rPr>
          <w:lang w:val="en-US"/>
        </w:rPr>
        <w:t xml:space="preserve">regarding </w:t>
      </w:r>
      <w:proofErr w:type="spellStart"/>
      <w:r w:rsidR="0007513E" w:rsidRPr="00DB58BF">
        <w:rPr>
          <w:lang w:val="en-US"/>
        </w:rPr>
        <w:t>hemoadsorption</w:t>
      </w:r>
      <w:proofErr w:type="spellEnd"/>
      <w:r w:rsidR="0007513E" w:rsidRPr="00DB58BF">
        <w:rPr>
          <w:lang w:val="en-US"/>
        </w:rPr>
        <w:t xml:space="preserve"> in patients </w:t>
      </w:r>
      <w:r w:rsidR="00EC0441" w:rsidRPr="00DB58BF">
        <w:rPr>
          <w:lang w:val="en-US"/>
        </w:rPr>
        <w:t>treated</w:t>
      </w:r>
      <w:r w:rsidR="0007513E" w:rsidRPr="00DB58BF">
        <w:rPr>
          <w:lang w:val="en-US"/>
        </w:rPr>
        <w:t xml:space="preserve"> for severe ARDS</w:t>
      </w:r>
      <w:r w:rsidR="00EC0441" w:rsidRPr="00DB58BF">
        <w:rPr>
          <w:lang w:val="en-US"/>
        </w:rPr>
        <w:t xml:space="preserve"> in this systematic review and meta-analysis</w:t>
      </w:r>
      <w:r w:rsidR="0007513E" w:rsidRPr="00DB58BF">
        <w:rPr>
          <w:lang w:val="en-US"/>
        </w:rPr>
        <w:t>.</w:t>
      </w:r>
      <w:r w:rsidR="009C3BD0" w:rsidRPr="00DB58BF">
        <w:rPr>
          <w:lang w:val="en-US"/>
        </w:rPr>
        <w:t xml:space="preserve"> </w:t>
      </w:r>
    </w:p>
    <w:p w14:paraId="752D1522" w14:textId="77777777" w:rsidR="00EB4409" w:rsidRPr="00DB58BF" w:rsidRDefault="00EB4409" w:rsidP="00F61EBC">
      <w:pPr>
        <w:rPr>
          <w:lang w:val="en-US"/>
        </w:rPr>
      </w:pPr>
    </w:p>
    <w:p w14:paraId="7B90709C" w14:textId="77777777" w:rsidR="009D62C6" w:rsidRPr="00DB58BF" w:rsidRDefault="009D62C6" w:rsidP="0036711F">
      <w:pPr>
        <w:rPr>
          <w:rFonts w:eastAsiaTheme="majorEastAsia" w:cstheme="majorBidi"/>
          <w:b/>
          <w:lang w:val="en-US"/>
        </w:rPr>
      </w:pPr>
      <w:r w:rsidRPr="00DB58BF">
        <w:rPr>
          <w:lang w:val="en-US"/>
        </w:rPr>
        <w:br w:type="page"/>
      </w:r>
    </w:p>
    <w:p w14:paraId="17FBC2A9" w14:textId="26036AEE" w:rsidR="00B41FBB" w:rsidRPr="00DB58BF" w:rsidRDefault="00B41FBB" w:rsidP="0036711F">
      <w:pPr>
        <w:pStyle w:val="Heading1"/>
        <w:rPr>
          <w:szCs w:val="24"/>
          <w:lang w:val="en-US"/>
        </w:rPr>
      </w:pPr>
      <w:bookmarkStart w:id="14" w:name="_Toc211542193"/>
      <w:r w:rsidRPr="00DB58BF">
        <w:rPr>
          <w:szCs w:val="24"/>
          <w:lang w:val="en-US"/>
        </w:rPr>
        <w:lastRenderedPageBreak/>
        <w:t>7. METHODS</w:t>
      </w:r>
      <w:bookmarkEnd w:id="14"/>
    </w:p>
    <w:p w14:paraId="7B618CD4" w14:textId="22B3BA55" w:rsidR="00F27F8A" w:rsidRPr="00DB58BF" w:rsidRDefault="00F27F8A" w:rsidP="0036711F">
      <w:pPr>
        <w:rPr>
          <w:lang w:val="en-US"/>
        </w:rPr>
      </w:pPr>
      <w:r w:rsidRPr="00DB58BF">
        <w:rPr>
          <w:lang w:val="en-US"/>
        </w:rPr>
        <w:t>We conducted two systematic reviews and meta-analyses following the PRISMA 2020 guideline and adhered to the recommendations outlined in the Cochrane Handbook. Additionally, the pre-study protocol</w:t>
      </w:r>
      <w:r w:rsidR="00832EEB" w:rsidRPr="00DB58BF">
        <w:rPr>
          <w:lang w:val="en-US"/>
        </w:rPr>
        <w:t>s</w:t>
      </w:r>
      <w:r w:rsidRPr="00DB58BF">
        <w:rPr>
          <w:lang w:val="en-US"/>
        </w:rPr>
        <w:t xml:space="preserve"> w</w:t>
      </w:r>
      <w:r w:rsidR="00832EEB" w:rsidRPr="00DB58BF">
        <w:rPr>
          <w:lang w:val="en-US"/>
        </w:rPr>
        <w:t>ere</w:t>
      </w:r>
      <w:r w:rsidRPr="00DB58BF">
        <w:rPr>
          <w:lang w:val="en-US"/>
        </w:rPr>
        <w:t xml:space="preserve"> registered </w:t>
      </w:r>
      <w:r w:rsidR="00832EEB" w:rsidRPr="00DB58BF">
        <w:rPr>
          <w:lang w:val="en-US"/>
        </w:rPr>
        <w:t xml:space="preserve">in advance in </w:t>
      </w:r>
      <w:r w:rsidRPr="00DB58BF">
        <w:rPr>
          <w:lang w:val="en-US"/>
        </w:rPr>
        <w:t>PROSPERO</w:t>
      </w:r>
      <w:r w:rsidR="00D5482D" w:rsidRPr="00DB58BF">
        <w:rPr>
          <w:lang w:val="en-US"/>
        </w:rPr>
        <w:t xml:space="preserve"> </w:t>
      </w:r>
      <w:r w:rsidR="00832EEB" w:rsidRPr="00DB58BF">
        <w:rPr>
          <w:lang w:val="en-US"/>
        </w:rPr>
        <w:fldChar w:fldCharType="begin"/>
      </w:r>
      <w:r w:rsidR="00F72454" w:rsidRPr="00DB58BF">
        <w:rPr>
          <w:lang w:val="en-US"/>
        </w:rPr>
        <w:instrText xml:space="preserve"> ADDIN ZOTERO_ITEM CSL_CITATION {"citationID":"1saGRnLJ","properties":{"formattedCitation":"[28,29]","plainCitation":"[28,29]","noteIndex":0},"citationItems":[{"id":179,"uris":["http://zotero.org/users/local/L5HAWlIW/items/N8HUHMNM"],"itemData":{"id":179,"type":"article-journal","abstract":"The Preferred Reporting Items for Systematic reviews and Meta-Analyses (PRISMA) statement, published in 2009, was designed to help systematic reviewers transparently report why the review was done, what the authors did, and what they found. Over the past decade, advances in systematic review methodology and terminology have necessitated an update to the guideline. The PRISMA 2020 statement replaces the 2009 statement and includes new reporting guidance that reflects advances in methods to identify, select, appraise, and synthesise studies. The structure and presentation of the items have been modified to facilitate implementation. In this article, we present the PRISMA 2020 27-item checklist, an expanded checklist that details reporting recommendations for each item, the PRISMA 2020 abstract checklist, and the revised flow diagrams for original and updated reviews.","container-title":"BMJ (Clinical research ed.)","DOI":"10.1136/bmj.n71","issue":"NA","note":"publisher: British Medical Association","page":"n71-NA","title":"The PRISMA 2020 statement: an updated guideline for reporting systematic reviews","volume":"372","author":[{"family":"Page","given":"Matthew J.; McKenzie","suffix":"Joanne E.; Bossuyt, Patrick M.M.; Boutron, Isabelle; Hoffmann, Tammy; Mulrow, Cynthia D.; Shamseer, Larissa; Tetzlaff, Jennifer; Akl, Elie A.; Brennan, Sue E.; Chou, Roger; Glanville, Julie; Grimshaw, Jeremy M.; Hróbjartsson, Asbjørn; Lalu, Manoj M.; Li, Tianjing; Loder, Elizabeth; Mayo-Wilson, Evan; McDonald, Steve; McGuinness, Luke A; Stewart, Lesley A.; Thomas, James; Tricco, Andrea C.; Welch, Vivian; Whiting, Penny; Moher, David"}],"issued":{"date-parts":[["2021"]]}}},{"id":55,"uris":["http://zotero.org/users/local/L5HAWlIW/items/FJ7NFJSK"],"itemData":{"id":55,"type":"book","ISBN":"978-1-119-53660-4","language":"English","note":"OCLC: 1167575221","source":"Open WorldCat","title":"Cochrane handbook for systematic reviews of interventions","URL":"https://doi.org/10.1002/9781119536604","author":[{"family":"Higgins","given":"Julian P. T"},{"family":"Thomas","given":"James"},{"family":"Chandler","given":"Jackie"},{"family":"Cumpston","given":"Miranda"},{"family":"Li","given":"Tianjing"},{"family":"Page","given":"Matthew J"},{"family":"Welch","given":"Vivian A"},{"literal":"Cochrane Collaboration"}],"accessed":{"date-parts":[["2022",7,4]]},"issued":{"date-parts":[["2020"]]}}}],"schema":"https://github.com/citation-style-language/schema/raw/master/csl-citation.json"} </w:instrText>
      </w:r>
      <w:r w:rsidR="00832EEB" w:rsidRPr="00DB58BF">
        <w:rPr>
          <w:lang w:val="en-US"/>
        </w:rPr>
        <w:fldChar w:fldCharType="separate"/>
      </w:r>
      <w:r w:rsidR="00F72454" w:rsidRPr="00DB58BF">
        <w:rPr>
          <w:rFonts w:cs="Times New Roman"/>
        </w:rPr>
        <w:t>[28,29]</w:t>
      </w:r>
      <w:r w:rsidR="00832EEB" w:rsidRPr="00DB58BF">
        <w:rPr>
          <w:lang w:val="en-US"/>
        </w:rPr>
        <w:fldChar w:fldCharType="end"/>
      </w:r>
      <w:r w:rsidR="00D5482D" w:rsidRPr="00DB58BF">
        <w:rPr>
          <w:lang w:val="en-US"/>
        </w:rPr>
        <w:t>.</w:t>
      </w:r>
    </w:p>
    <w:p w14:paraId="0F90C820" w14:textId="284FE6C3" w:rsidR="00B41FBB" w:rsidRPr="00DB58BF" w:rsidRDefault="00B41FBB" w:rsidP="0036711F">
      <w:pPr>
        <w:pStyle w:val="Heading2"/>
        <w:rPr>
          <w:szCs w:val="24"/>
          <w:lang w:val="en-US"/>
        </w:rPr>
      </w:pPr>
      <w:bookmarkStart w:id="15" w:name="_Toc211542194"/>
      <w:r w:rsidRPr="00DB58BF">
        <w:rPr>
          <w:szCs w:val="24"/>
          <w:lang w:val="en-US"/>
        </w:rPr>
        <w:t xml:space="preserve">7.1. Study I. </w:t>
      </w:r>
      <w:r w:rsidR="00752001" w:rsidRPr="00DB58BF">
        <w:rPr>
          <w:szCs w:val="24"/>
          <w:lang w:val="en-US"/>
        </w:rPr>
        <w:t>– Individualized vs. fixed</w:t>
      </w:r>
      <w:r w:rsidR="00B07668" w:rsidRPr="00DB58BF">
        <w:rPr>
          <w:szCs w:val="24"/>
          <w:lang w:val="en-US"/>
        </w:rPr>
        <w:t xml:space="preserve"> intraoperative</w:t>
      </w:r>
      <w:r w:rsidR="00752001" w:rsidRPr="00DB58BF">
        <w:rPr>
          <w:szCs w:val="24"/>
          <w:lang w:val="en-US"/>
        </w:rPr>
        <w:t xml:space="preserve"> PEEP setting</w:t>
      </w:r>
      <w:r w:rsidR="00B07668" w:rsidRPr="00DB58BF">
        <w:rPr>
          <w:szCs w:val="24"/>
          <w:lang w:val="en-US"/>
        </w:rPr>
        <w:t>s</w:t>
      </w:r>
      <w:bookmarkEnd w:id="15"/>
    </w:p>
    <w:p w14:paraId="34AF19DC" w14:textId="7CAB0049" w:rsidR="007B3A07" w:rsidRPr="00DB58BF" w:rsidRDefault="007B3A07" w:rsidP="0036711F">
      <w:pPr>
        <w:pStyle w:val="Heading3"/>
        <w:rPr>
          <w:szCs w:val="24"/>
          <w:lang w:val="en-US"/>
        </w:rPr>
      </w:pPr>
      <w:bookmarkStart w:id="16" w:name="_Toc211542195"/>
      <w:r w:rsidRPr="00DB58BF">
        <w:rPr>
          <w:szCs w:val="24"/>
          <w:lang w:val="en-US"/>
        </w:rPr>
        <w:t xml:space="preserve">7.1.1. </w:t>
      </w:r>
      <w:r w:rsidR="00585138" w:rsidRPr="00DB58BF">
        <w:rPr>
          <w:szCs w:val="24"/>
          <w:lang w:val="en-US"/>
        </w:rPr>
        <w:t>Systematic search, eligibility</w:t>
      </w:r>
      <w:bookmarkEnd w:id="16"/>
    </w:p>
    <w:p w14:paraId="3154948E" w14:textId="77CC3AE1" w:rsidR="005E38DF" w:rsidRPr="00DB58BF" w:rsidRDefault="005E38DF" w:rsidP="0036711F">
      <w:pPr>
        <w:rPr>
          <w:lang w:val="en-US"/>
        </w:rPr>
      </w:pPr>
      <w:r w:rsidRPr="00DB58BF">
        <w:rPr>
          <w:lang w:val="en-US"/>
        </w:rPr>
        <w:t xml:space="preserve">The study was registered on PROSPERO </w:t>
      </w:r>
      <w:r w:rsidR="002F5F74" w:rsidRPr="00DB58BF">
        <w:rPr>
          <w:lang w:val="en-US"/>
        </w:rPr>
        <w:t xml:space="preserve">(CRD42021282228) </w:t>
      </w:r>
      <w:r w:rsidRPr="00DB58BF">
        <w:rPr>
          <w:lang w:val="en-US"/>
        </w:rPr>
        <w:t xml:space="preserve">on October 13, 2021. A systematic search was conducted on October 14, 2021, and updated on April 26, 2024, across four medical databases: MEDLINE (via PubMed), Cochrane Library (CENTRAL), Embase, and Web of Science, using a predefined search strategy. The research included only randomized controlled trials (RCTs) </w:t>
      </w:r>
      <w:r w:rsidR="00EC0441" w:rsidRPr="00DB58BF">
        <w:rPr>
          <w:lang w:val="en-US"/>
        </w:rPr>
        <w:t>comparing</w:t>
      </w:r>
      <w:r w:rsidRPr="00DB58BF">
        <w:rPr>
          <w:lang w:val="en-US"/>
        </w:rPr>
        <w:t xml:space="preserve"> individually titrated PEEP with fixed PEEP levels or zero PEEP (ZEEP) in adult patients undergoing abdominal surgery under general anesthesia. Both elective and non-elective surgeries, including laparoscopic and open abdominal procedures (major gastrointestinal, gynecological, and urological), were considered. Trials involving pediatric patients (&lt;18 years) or patients ventilated for reasons unrelated to abdominal surgery were excluded.</w:t>
      </w:r>
    </w:p>
    <w:p w14:paraId="0BBD57FD" w14:textId="17F8F54C" w:rsidR="004C4163" w:rsidRPr="00DB58BF" w:rsidRDefault="004C4163" w:rsidP="0036711F">
      <w:pPr>
        <w:pStyle w:val="Heading3"/>
        <w:rPr>
          <w:szCs w:val="24"/>
          <w:lang w:val="en-US"/>
        </w:rPr>
      </w:pPr>
      <w:bookmarkStart w:id="17" w:name="_Toc211542196"/>
      <w:r w:rsidRPr="00DB58BF">
        <w:rPr>
          <w:szCs w:val="24"/>
          <w:lang w:val="en-US"/>
        </w:rPr>
        <w:t xml:space="preserve">7.1.2. Selection, data </w:t>
      </w:r>
      <w:r w:rsidR="00E05078" w:rsidRPr="00DB58BF">
        <w:rPr>
          <w:szCs w:val="24"/>
          <w:lang w:val="en-US"/>
        </w:rPr>
        <w:t>synthesis</w:t>
      </w:r>
      <w:r w:rsidRPr="00DB58BF">
        <w:rPr>
          <w:szCs w:val="24"/>
          <w:lang w:val="en-US"/>
        </w:rPr>
        <w:t xml:space="preserve"> and</w:t>
      </w:r>
      <w:r w:rsidR="00B02B99" w:rsidRPr="00DB58BF">
        <w:rPr>
          <w:szCs w:val="24"/>
          <w:lang w:val="en-US"/>
        </w:rPr>
        <w:t xml:space="preserve"> statistical</w:t>
      </w:r>
      <w:r w:rsidRPr="00DB58BF">
        <w:rPr>
          <w:szCs w:val="24"/>
          <w:lang w:val="en-US"/>
        </w:rPr>
        <w:t xml:space="preserve"> analysis</w:t>
      </w:r>
      <w:bookmarkEnd w:id="17"/>
    </w:p>
    <w:p w14:paraId="0B0E0A87" w14:textId="1CBADB00" w:rsidR="00475FA2" w:rsidRPr="00DB58BF" w:rsidRDefault="00475FA2" w:rsidP="0036711F">
      <w:pPr>
        <w:rPr>
          <w:lang w:val="en-US"/>
        </w:rPr>
      </w:pPr>
      <w:r w:rsidRPr="00DB58BF">
        <w:rPr>
          <w:lang w:val="en-US"/>
        </w:rPr>
        <w:t>Two authors independently performed the study selection process, first by screening titles and abstracts, and then by reviewing the full texts of studies that met the inclusion criteria. Any disagreements were resolved through consultation with a third author. Data extraction from the selected articles was also carried out independently to ensure accuracy and precision.</w:t>
      </w:r>
    </w:p>
    <w:p w14:paraId="7D8DF667" w14:textId="30BED916" w:rsidR="008153AD" w:rsidRPr="00DB58BF" w:rsidRDefault="000475E4" w:rsidP="0036711F">
      <w:pPr>
        <w:rPr>
          <w:lang w:val="en-US"/>
        </w:rPr>
      </w:pPr>
      <w:r w:rsidRPr="00DB58BF">
        <w:rPr>
          <w:lang w:val="en-US"/>
        </w:rPr>
        <w:t>Given at least three studies reporting a specific outcome, performing a meta-analysis was feasible. For continuous variables, mean differences were calculated based on the reported mean ± SD. If medians, quartiles, minimums, and maximums were presented in the article, we employed the Luo and Shi methods to estimate the mean ± SD. For dichotomous outcomes, risk ratios (RRs) with 95% confidence intervals (CIs) were calculated to compare the different PEEP strategies. For pooled results, the exact Mantel–Haenszel method (without continuity correction) was used to address zero cell counts</w:t>
      </w:r>
      <w:r w:rsidR="00D5482D" w:rsidRPr="00DB58BF">
        <w:rPr>
          <w:lang w:val="en-US"/>
        </w:rPr>
        <w:t xml:space="preserve"> </w:t>
      </w:r>
      <w:r w:rsidR="0036711F" w:rsidRPr="00DB58BF">
        <w:rPr>
          <w:lang w:val="en-US"/>
        </w:rPr>
        <w:lastRenderedPageBreak/>
        <w:fldChar w:fldCharType="begin"/>
      </w:r>
      <w:r w:rsidR="00571688" w:rsidRPr="00DB58BF">
        <w:rPr>
          <w:lang w:val="en-US"/>
        </w:rPr>
        <w:instrText xml:space="preserve"> ADDIN ZOTERO_ITEM CSL_CITATION {"citationID":"iVeqPpZp","properties":{"formattedCitation":"[30,31]","plainCitation":"[30,31]","noteIndex":0},"citationItems":[{"id":85,"uris":["http://zotero.org/users/local/L5HAWlIW/items/V7M5ZWY5"],"itemData":{"id":85,"type":"book","edition":"2. ed","event-place":"New York","ISBN":"978-0-87154-163-5","language":"eng","number-of-pages":"615","publisher":"Russell Sage Foundation","publisher-place":"New York","source":"K10plus ISBN","title":"The handbook of research synthesis and meta-analysis","editor":[{"family":"Cooper","given":"Harris M."},{"family":"Hedges","given":"Larry V."},{"family":"Valentine","given":"Jeffrey C."}],"issued":{"date-parts":[["2009"]]}}},{"id":89,"uris":["http://zotero.org/users/local/L5HAWlIW/items/WMJ88VZI"],"itemData":{"id":89,"type":"article-journal","container-title":"Statistics in Medicine","DOI":"10.1002/sim.1761","ISSN":"0277-6715, 1097-0258","issue":"9","journalAbbreviation":"Statist. Med.","language":"en","page":"1351-1375","source":"DOI.org (Crossref)","title":"What to add to nothing? Use and avoidance of continuity corrections in meta-analysis of sparse data","title-short":"What to add to nothing?","volume":"23","author":[{"family":"J. Sweeting","given":"Michael"},{"family":"J. Sutton","given":"Alexander"},{"family":"C. Lambert","given":"Paul"}],"issued":{"date-parts":[["2004",5,15]]}}}],"schema":"https://github.com/citation-style-language/schema/raw/master/csl-citation.json"} </w:instrText>
      </w:r>
      <w:r w:rsidR="0036711F" w:rsidRPr="00DB58BF">
        <w:rPr>
          <w:lang w:val="en-US"/>
        </w:rPr>
        <w:fldChar w:fldCharType="separate"/>
      </w:r>
      <w:r w:rsidR="00571688" w:rsidRPr="00DB58BF">
        <w:rPr>
          <w:rFonts w:cs="Times New Roman"/>
        </w:rPr>
        <w:t>[30,31]</w:t>
      </w:r>
      <w:r w:rsidR="0036711F" w:rsidRPr="00DB58BF">
        <w:rPr>
          <w:lang w:val="en-US"/>
        </w:rPr>
        <w:fldChar w:fldCharType="end"/>
      </w:r>
      <w:r w:rsidR="00D5482D" w:rsidRPr="00DB58BF">
        <w:rPr>
          <w:lang w:val="en-US"/>
        </w:rPr>
        <w:t>.</w:t>
      </w:r>
      <w:r w:rsidRPr="00DB58BF">
        <w:rPr>
          <w:lang w:val="en-US"/>
        </w:rPr>
        <w:t xml:space="preserve"> The Hartung–Knapp adjustment was applied when more than five studies were available for a given outcome</w:t>
      </w:r>
      <w:r w:rsidR="00D5482D" w:rsidRPr="00DB58BF">
        <w:rPr>
          <w:lang w:val="en-US"/>
        </w:rPr>
        <w:t xml:space="preserve"> </w:t>
      </w:r>
      <w:r w:rsidR="0036711F" w:rsidRPr="00DB58BF">
        <w:rPr>
          <w:lang w:val="en-US"/>
        </w:rPr>
        <w:fldChar w:fldCharType="begin"/>
      </w:r>
      <w:r w:rsidR="00312729" w:rsidRPr="00DB58BF">
        <w:rPr>
          <w:lang w:val="en-US"/>
        </w:rPr>
        <w:instrText xml:space="preserve"> ADDIN ZOTERO_ITEM CSL_CITATION {"citationID":"nNbHrBUa","properties":{"formattedCitation":"[32,33]","plainCitation":"[32,33]","noteIndex":0},"citationItems":[{"id":153,"uris":["http://zotero.org/users/local/L5HAWlIW/items/MLYPF299"],"itemData":{"id":153,"type":"article-journal","abstract":"The DerSimonian and Laird approach (DL) is widely used for random effects meta-analysis, but this often results in inappropriate type I error rates. The method described by Hartung, Knapp, Sidik and Jonkman (HKSJ) is known to perform better when trials of similar size are combined. However evidence in realistic situations, where one trial might be much larger than the other trials, is lacking. We aimed to evaluate the relative performance of the DL and HKSJ methods when studies of different sizes are combined and to develop a simple method to convert DL results to HKSJ results. We evaluated the performance of the HKSJ versus DL approach in simulated meta-analyses of 2–20 trials with varying sample sizes and between-study heterogeneity, and allowing trials to have various sizes, e.g. 25% of the trials being 10-times larger than the smaller trials. We also compared the number of “positive” (statistically significant at p = 3 studies of interventions from the Cochrane Database of Systematic Reviews. The simulations showed that the HKSJ method consistently resulted in more adequate error rates than the DL method. When the significance level was 5%, the HKSJ error rates at most doubled, whereas for DL they could be over 30%. DL, and, far less so, HKSJ had more inflated error rates when the combined studies had unequal sizes and between-study heterogeneity. The empirical data from 689 meta-analyses showed that 25.1% of the significant findings for the DL method were non-significant with the HKSJ method. DL results can be easily converted into HKSJ results. Our simulations showed that the HKSJ method consistently results in more adequate error rates than the DL method, especially when the number of studies is small, and can easily be applied routinely in meta-analyses. Even with the HKSJ method, extra caution is needed when there are = &lt;5 studies of very unequal sizes.","container-title":"BMC medical research methodology","DOI":"10.1186/1471-2288-14-25","issue":"1","note":"publisher: BioMed Central","page":"25-25","title":"The Hartung-Knapp-Sidik-Jonkman method for random effects meta-analysis is straightforward and considerably outperforms the standard DerSimonian-Laird method","volume":"14","author":[{"family":"IntHout","given":"Joanna; Ioannidis","suffix":"John P. A.; Borm, George F."}],"issued":{"date-parts":[["2014"]]}}},{"id":174,"uris":["http://zotero.org/users/local/L5HAWlIW/items/FANLUTTU"],"itemData":{"id":174,"type":"article-journal","abstract":"The explanation of heterogeneity plays an important role in meta-analysis. The random effects meta-regression model allows the inclusion of trial-specific covariates which may explain a part of the heterogeneity. We examine the commonly used tests on the parameters in the random effects meta-regression with one covariate and propose some new test statistics based on an improved estimator of the variance of the parameter estimates. The approximation of the distribution of the newly proposed tests is based on some theoretical considerations. Moreover, the newly proposed tests can easily be extended to the case of more than one covariate. In a simulation study, we compare the tests with regard to their actual significance level and we consider the log relative risk as the parameter of interest. Our simulation study reflects the meta-analysis of the efficacy of a vaccine for the prevention of tuberculosis originally discussed in Berkey et al. The simulation study shows that the newly proposed tests are superior to the commonly used test in holding the nominal significance level.","container-title":"Statistics in medicine","DOI":"10.1002/sim.1482","issue":"17","note":"publisher: John Wiley and Sons Ltd","page":"2693-2710","title":"Improved tests for a random effects meta-regression with a single covariate","volume":"22","author":[{"family":"Knapp","given":"Guido; Hartung","suffix":"Joachim"}],"issued":{"date-parts":[["2003"]]}}}],"schema":"https://github.com/citation-style-language/schema/raw/master/csl-citation.json"} </w:instrText>
      </w:r>
      <w:r w:rsidR="0036711F" w:rsidRPr="00DB58BF">
        <w:rPr>
          <w:lang w:val="en-US"/>
        </w:rPr>
        <w:fldChar w:fldCharType="separate"/>
      </w:r>
      <w:r w:rsidR="00312729" w:rsidRPr="00DB58BF">
        <w:rPr>
          <w:rFonts w:cs="Times New Roman"/>
        </w:rPr>
        <w:t>[32,33]</w:t>
      </w:r>
      <w:r w:rsidR="0036711F" w:rsidRPr="00DB58BF">
        <w:rPr>
          <w:lang w:val="en-US"/>
        </w:rPr>
        <w:fldChar w:fldCharType="end"/>
      </w:r>
      <w:r w:rsidR="00D5482D" w:rsidRPr="00DB58BF">
        <w:rPr>
          <w:lang w:val="en-US"/>
        </w:rPr>
        <w:t>.</w:t>
      </w:r>
    </w:p>
    <w:p w14:paraId="39717CA8" w14:textId="6E2B7A08" w:rsidR="00664DB2" w:rsidRPr="00DB58BF" w:rsidRDefault="00664DB2" w:rsidP="0036711F">
      <w:pPr>
        <w:rPr>
          <w:lang w:val="en-US"/>
        </w:rPr>
      </w:pPr>
      <w:r w:rsidRPr="00DB58BF">
        <w:rPr>
          <w:lang w:val="en-US"/>
        </w:rPr>
        <w:t xml:space="preserve">Statistical analyses were performed with R (R Core Team 2021, v4.1.2) using the meta (Schwarzer 2022, v6.2-1) and </w:t>
      </w:r>
      <w:proofErr w:type="spellStart"/>
      <w:r w:rsidRPr="00DB58BF">
        <w:rPr>
          <w:lang w:val="en-US"/>
        </w:rPr>
        <w:t>dmetar</w:t>
      </w:r>
      <w:proofErr w:type="spellEnd"/>
      <w:r w:rsidRPr="00DB58BF">
        <w:rPr>
          <w:lang w:val="en-US"/>
        </w:rPr>
        <w:t xml:space="preserve"> (Cuijpers, Furukawa, and Ebert 2020, v0.0.9000) packages</w:t>
      </w:r>
      <w:r w:rsidR="00D5482D" w:rsidRPr="00DB58BF">
        <w:rPr>
          <w:lang w:val="en-US"/>
        </w:rPr>
        <w:t xml:space="preserve"> </w:t>
      </w:r>
      <w:r w:rsidRPr="00DB58BF">
        <w:rPr>
          <w:lang w:val="en-US"/>
        </w:rPr>
        <w:fldChar w:fldCharType="begin"/>
      </w:r>
      <w:r w:rsidR="00CB2650" w:rsidRPr="00DB58BF">
        <w:rPr>
          <w:lang w:val="en-US"/>
        </w:rPr>
        <w:instrText xml:space="preserve"> ADDIN ZOTERO_ITEM CSL_CITATION {"citationID":"TCi2ooE5","properties":{"formattedCitation":"[34\\uc0\\u8211{}36]","plainCitation":"[34–36]","noteIndex":0},"citationItems":[{"id":1450,"uris":["http://zotero.org/users/local/L5HAWlIW/items/6VE6KTRF"],"itemData":{"id":1450,"type":"software","event-place":"Vienna, Austria","publisher":"R Foundation for Statistical Computing","publisher-place":"Vienna, Austria","title":"R: A language and environment for statistical computing.","URL":"https://www.R-project.org/","author":[{"family":"R Core Team","given":""}],"issued":{"date-parts":[["2021"]]}}},{"id":156,"uris":["http://zotero.org/users/local/L5HAWlIW/items/GLIHBYTH"],"itemData":{"id":156,"type":"article-journal","abstract":"Objective Meta-analysis is of fundamental importance to obtain an unbiased assessment of the available evidence. In general, the use of meta-analysis has been increasing over the last three decades with mental health as a major research topic. It is then essential to well understand its methodology and interpret its results. In this publication, we describe how to perform a meta-analysis with the freely available statistical software environment R, using a working example taken from the field of mental health. Methods R package meta is used to conduct standard meta-analysis. Sensitivity analyses for missing binary outcome data and potential selection bias are conducted with R package metasens. All essential R commands are provided and clearly described to conduct and report analyses. Results The working example considers a binary outcome: we show how to conduct a fixed effect and random effects meta-analysis and subgroup analysis, produce a forest and funnel plot and to test and adjust for funnel plot asymmetry. All these steps work similar for other outcome types. Conclusions R represents a powerful and flexible tool to conduct meta-analyses. This publication gives a brief glimpse into the topic and provides directions to more advanced meta-analysis methods available in R.","container-title":"Evidence-based mental health","DOI":"10.1136/ebmental-2019-300117","issue":"4","note":"publisher: BMJ Publishing Group","page":"153-160","title":"How to perform a meta-analysis with R: a practical tutorial","volume":"22","author":[{"family":"Balduzzi","given":"Sara; Rücker","suffix":"Gerta; Schwarzer, Guido"}],"issued":{"date-parts":[["2019"]]}}},{"id":68,"uris":["http://zotero.org/users/local/L5HAWlIW/items/GUY3XLJ3"],"itemData":{"id":68,"type":"book","abstract":"R package version 0.0.9000","title":"dmetar: Companion R Package For The Guide 'Doing Meta-Analysis in R'. R package version 0.0.9000","URL":"http://dmetar.protectlab.org/","author":[{"family":"Harrer","given":"Mathias"},{"literal":"Pim Cuijpers"},{"literal":"Toshi Furukawa"},{"literal":"David Daniel Ebert"}],"issued":{"date-parts":[["2019"]]}}}],"schema":"https://github.com/citation-style-language/schema/raw/master/csl-citation.json"} </w:instrText>
      </w:r>
      <w:r w:rsidRPr="00DB58BF">
        <w:rPr>
          <w:lang w:val="en-US"/>
        </w:rPr>
        <w:fldChar w:fldCharType="separate"/>
      </w:r>
      <w:r w:rsidR="00CB2650" w:rsidRPr="00DB58BF">
        <w:rPr>
          <w:rFonts w:cs="Times New Roman"/>
          <w:kern w:val="0"/>
        </w:rPr>
        <w:t>[34–36]</w:t>
      </w:r>
      <w:r w:rsidRPr="00DB58BF">
        <w:rPr>
          <w:lang w:val="en-US"/>
        </w:rPr>
        <w:fldChar w:fldCharType="end"/>
      </w:r>
      <w:r w:rsidR="00D5482D" w:rsidRPr="00DB58BF">
        <w:rPr>
          <w:lang w:val="en-US"/>
        </w:rPr>
        <w:t>.</w:t>
      </w:r>
    </w:p>
    <w:p w14:paraId="53F8E476" w14:textId="563A23DD" w:rsidR="00B02B99" w:rsidRPr="00DB58BF" w:rsidRDefault="00B02B99" w:rsidP="0036711F">
      <w:pPr>
        <w:pStyle w:val="Heading3"/>
        <w:rPr>
          <w:szCs w:val="24"/>
          <w:lang w:val="en-US"/>
        </w:rPr>
      </w:pPr>
      <w:bookmarkStart w:id="18" w:name="_Toc211542197"/>
      <w:r w:rsidRPr="00DB58BF">
        <w:rPr>
          <w:szCs w:val="24"/>
          <w:lang w:val="en-US"/>
        </w:rPr>
        <w:t>7.1.3. Quality of evidence and risk of bias assessment</w:t>
      </w:r>
      <w:bookmarkEnd w:id="18"/>
    </w:p>
    <w:p w14:paraId="4031DBA4" w14:textId="041F9C14" w:rsidR="00CB6E65" w:rsidRPr="00DB58BF" w:rsidRDefault="00CB6E65" w:rsidP="0036711F">
      <w:pPr>
        <w:rPr>
          <w:lang w:val="en-US"/>
        </w:rPr>
      </w:pPr>
      <w:r w:rsidRPr="00DB58BF">
        <w:rPr>
          <w:lang w:val="en-US"/>
        </w:rPr>
        <w:t xml:space="preserve">Following the Cochrane Collaboration's recommendations, investigators independently evaluated the quality of the studies using the "Revised Tool for Assessing the Risk of Bias in </w:t>
      </w:r>
      <w:proofErr w:type="spellStart"/>
      <w:r w:rsidRPr="00DB58BF">
        <w:rPr>
          <w:lang w:val="en-US"/>
        </w:rPr>
        <w:t>Randomised</w:t>
      </w:r>
      <w:proofErr w:type="spellEnd"/>
      <w:r w:rsidRPr="00DB58BF">
        <w:rPr>
          <w:lang w:val="en-US"/>
        </w:rPr>
        <w:t xml:space="preserve"> Trials." Any disagreements were resolved by involving a fourth author. The quality assessment of the included studies was conducted using the Grading of Recommendations, Assessment, Development, and Evaluation (GRADE) approach, following Cochrane guidelines, and implemented through the GRADEPro Guideline Development Tool</w:t>
      </w:r>
      <w:r w:rsidR="00D5482D" w:rsidRPr="00DB58BF">
        <w:rPr>
          <w:lang w:val="en-US"/>
        </w:rPr>
        <w:t xml:space="preserve"> </w:t>
      </w:r>
      <w:r w:rsidR="009B60E2" w:rsidRPr="00DB58BF">
        <w:rPr>
          <w:lang w:val="en-US"/>
        </w:rPr>
        <w:fldChar w:fldCharType="begin"/>
      </w:r>
      <w:r w:rsidR="003F6DDA" w:rsidRPr="00DB58BF">
        <w:rPr>
          <w:lang w:val="en-US"/>
        </w:rPr>
        <w:instrText xml:space="preserve"> ADDIN ZOTERO_ITEM CSL_CITATION {"citationID":"3uM9HxMc","properties":{"formattedCitation":"[37]","plainCitation":"[37]","noteIndex":0},"citationItems":[{"id":1449,"uris":["http://zotero.org/users/local/L5HAWlIW/items/A8LULEQR"],"itemData":{"id":1449,"type":"software","title":"GRADEpro GDT: GRADEpro Guideline Development Tool","URL":"gradepro.org","contributor":[{"literal":"McMaster"},{"literal":"University and Evidence Prime,"}],"issued":{"date-parts":[["2022"]]}}}],"schema":"https://github.com/citation-style-language/schema/raw/master/csl-citation.json"} </w:instrText>
      </w:r>
      <w:r w:rsidR="009B60E2" w:rsidRPr="00DB58BF">
        <w:rPr>
          <w:lang w:val="en-US"/>
        </w:rPr>
        <w:fldChar w:fldCharType="separate"/>
      </w:r>
      <w:r w:rsidR="003F6DDA" w:rsidRPr="00DB58BF">
        <w:rPr>
          <w:rFonts w:cs="Times New Roman"/>
        </w:rPr>
        <w:t>[37]</w:t>
      </w:r>
      <w:r w:rsidR="009B60E2" w:rsidRPr="00DB58BF">
        <w:rPr>
          <w:lang w:val="en-US"/>
        </w:rPr>
        <w:fldChar w:fldCharType="end"/>
      </w:r>
      <w:r w:rsidR="00D5482D" w:rsidRPr="00DB58BF">
        <w:rPr>
          <w:lang w:val="en-US"/>
        </w:rPr>
        <w:t>.</w:t>
      </w:r>
    </w:p>
    <w:p w14:paraId="5AF4016D" w14:textId="2ABA5B3D" w:rsidR="00B41FBB" w:rsidRPr="00DB58BF" w:rsidRDefault="00B41FBB" w:rsidP="0036711F">
      <w:pPr>
        <w:pStyle w:val="Heading2"/>
        <w:rPr>
          <w:szCs w:val="24"/>
          <w:lang w:val="en-US"/>
        </w:rPr>
      </w:pPr>
      <w:bookmarkStart w:id="19" w:name="_Toc211542198"/>
      <w:r w:rsidRPr="00DB58BF">
        <w:rPr>
          <w:szCs w:val="24"/>
          <w:lang w:val="en-US"/>
        </w:rPr>
        <w:t xml:space="preserve">7.2. Study II. </w:t>
      </w:r>
      <w:r w:rsidR="00B07668" w:rsidRPr="00DB58BF">
        <w:rPr>
          <w:szCs w:val="24"/>
          <w:lang w:val="en-US"/>
        </w:rPr>
        <w:t xml:space="preserve">– </w:t>
      </w:r>
      <w:proofErr w:type="spellStart"/>
      <w:r w:rsidR="00B07668" w:rsidRPr="00DB58BF">
        <w:rPr>
          <w:szCs w:val="24"/>
          <w:lang w:val="en-US"/>
        </w:rPr>
        <w:t>Hem</w:t>
      </w:r>
      <w:r w:rsidR="004A5249" w:rsidRPr="00DB58BF">
        <w:rPr>
          <w:szCs w:val="24"/>
          <w:lang w:val="en-US"/>
        </w:rPr>
        <w:t>o</w:t>
      </w:r>
      <w:r w:rsidR="00B07668" w:rsidRPr="00DB58BF">
        <w:rPr>
          <w:szCs w:val="24"/>
          <w:lang w:val="en-US"/>
        </w:rPr>
        <w:t>adsorption</w:t>
      </w:r>
      <w:proofErr w:type="spellEnd"/>
      <w:r w:rsidR="00B07668" w:rsidRPr="00DB58BF">
        <w:rPr>
          <w:szCs w:val="24"/>
          <w:lang w:val="en-US"/>
        </w:rPr>
        <w:t xml:space="preserve"> as Adjuvant Therapy in ARDS</w:t>
      </w:r>
      <w:bookmarkEnd w:id="19"/>
    </w:p>
    <w:p w14:paraId="379BBEB0" w14:textId="45009203" w:rsidR="00444302" w:rsidRPr="00DB58BF" w:rsidRDefault="00444302" w:rsidP="0036711F">
      <w:pPr>
        <w:pStyle w:val="Heading3"/>
        <w:rPr>
          <w:szCs w:val="24"/>
          <w:lang w:val="en-US"/>
        </w:rPr>
      </w:pPr>
      <w:bookmarkStart w:id="20" w:name="_Toc211542199"/>
      <w:r w:rsidRPr="00DB58BF">
        <w:rPr>
          <w:szCs w:val="24"/>
          <w:lang w:val="en-US"/>
        </w:rPr>
        <w:t>7.2.1. Systematic search, eligibility</w:t>
      </w:r>
      <w:bookmarkEnd w:id="20"/>
    </w:p>
    <w:p w14:paraId="3C36591C" w14:textId="57D2DA5D" w:rsidR="007F62FB" w:rsidRPr="00DB58BF" w:rsidRDefault="000851C5" w:rsidP="0036711F">
      <w:pPr>
        <w:rPr>
          <w:lang w:val="en-US"/>
        </w:rPr>
      </w:pPr>
      <w:r w:rsidRPr="00DB58BF">
        <w:rPr>
          <w:lang w:val="en-US"/>
        </w:rPr>
        <w:t xml:space="preserve">After </w:t>
      </w:r>
      <w:r w:rsidR="00A42AC8" w:rsidRPr="00DB58BF">
        <w:rPr>
          <w:lang w:val="en-US"/>
        </w:rPr>
        <w:t>registering our study protocol on PROSPERO (CRD42022292176), w</w:t>
      </w:r>
      <w:r w:rsidR="00DC51F9" w:rsidRPr="00DB58BF">
        <w:rPr>
          <w:lang w:val="en-US"/>
        </w:rPr>
        <w:t>e conducted a systematic search in the same five databases—MEDLINE via PubMed, Embase, Cochrane Central Register of Controlled Trials (CENTRAL), Scopus, and Web of Science—on December 17, 2021, using a predefined search query. The search was repeated on February 25, 2023</w:t>
      </w:r>
      <w:r w:rsidR="00EB6908" w:rsidRPr="00DB58BF">
        <w:rPr>
          <w:lang w:val="en-US"/>
        </w:rPr>
        <w:t xml:space="preserve">. </w:t>
      </w:r>
      <w:r w:rsidR="007E6341" w:rsidRPr="00DB58BF">
        <w:rPr>
          <w:lang w:val="en-US"/>
        </w:rPr>
        <w:t xml:space="preserve">The target population for this research comprised patients with ARDS, and we aimed to compare those who received </w:t>
      </w:r>
      <w:proofErr w:type="spellStart"/>
      <w:r w:rsidR="007E6341" w:rsidRPr="00DB58BF">
        <w:rPr>
          <w:lang w:val="en-US"/>
        </w:rPr>
        <w:t>hemoadsorption</w:t>
      </w:r>
      <w:proofErr w:type="spellEnd"/>
      <w:r w:rsidR="007E6341" w:rsidRPr="00DB58BF">
        <w:rPr>
          <w:lang w:val="en-US"/>
        </w:rPr>
        <w:t xml:space="preserve"> therapy with patients who received only standard medical treatment. Prospective and retrospective studies, as well as case reports and case series, were eligible for inclusion in our systematic review.</w:t>
      </w:r>
    </w:p>
    <w:p w14:paraId="30172683" w14:textId="77777777" w:rsidR="00CE430C" w:rsidRPr="00DB58BF" w:rsidRDefault="00444302" w:rsidP="0036711F">
      <w:pPr>
        <w:pStyle w:val="Heading3"/>
        <w:rPr>
          <w:szCs w:val="24"/>
          <w:lang w:val="en-US"/>
        </w:rPr>
      </w:pPr>
      <w:bookmarkStart w:id="21" w:name="_Toc211542200"/>
      <w:r w:rsidRPr="00DB58BF">
        <w:rPr>
          <w:szCs w:val="24"/>
          <w:lang w:val="en-US"/>
        </w:rPr>
        <w:t xml:space="preserve">7.2.2. Selection, data </w:t>
      </w:r>
      <w:proofErr w:type="spellStart"/>
      <w:r w:rsidRPr="00DB58BF">
        <w:rPr>
          <w:szCs w:val="24"/>
          <w:lang w:val="en-US"/>
        </w:rPr>
        <w:t>syntesis</w:t>
      </w:r>
      <w:proofErr w:type="spellEnd"/>
      <w:r w:rsidRPr="00DB58BF">
        <w:rPr>
          <w:szCs w:val="24"/>
          <w:lang w:val="en-US"/>
        </w:rPr>
        <w:t xml:space="preserve"> and statistical analysis</w:t>
      </w:r>
      <w:bookmarkEnd w:id="21"/>
    </w:p>
    <w:p w14:paraId="78FFAE4E" w14:textId="70686FC4" w:rsidR="00CE430C" w:rsidRPr="00DB58BF" w:rsidRDefault="00DB4266" w:rsidP="0036711F">
      <w:pPr>
        <w:rPr>
          <w:lang w:val="en-US"/>
        </w:rPr>
      </w:pPr>
      <w:r w:rsidRPr="00DB58BF">
        <w:rPr>
          <w:lang w:val="en-US"/>
        </w:rPr>
        <w:t>As in the previous study, the selection and data extraction were conducted independently by two authors following the selection criteria. Any disagreements were resolved by involving a third author.</w:t>
      </w:r>
    </w:p>
    <w:p w14:paraId="0C1324EE" w14:textId="032D3966" w:rsidR="00444302" w:rsidRPr="00DB58BF" w:rsidRDefault="00CE430C" w:rsidP="0036711F">
      <w:pPr>
        <w:rPr>
          <w:lang w:val="en-US"/>
        </w:rPr>
      </w:pPr>
      <w:r w:rsidRPr="00DB58BF">
        <w:rPr>
          <w:lang w:val="en-US"/>
        </w:rPr>
        <w:lastRenderedPageBreak/>
        <w:t xml:space="preserve">For case reports or case series with very few eligible patients, data </w:t>
      </w:r>
      <w:proofErr w:type="gramStart"/>
      <w:r w:rsidRPr="00DB58BF">
        <w:rPr>
          <w:lang w:val="en-US"/>
        </w:rPr>
        <w:t>were</w:t>
      </w:r>
      <w:proofErr w:type="gramEnd"/>
      <w:r w:rsidRPr="00DB58BF">
        <w:rPr>
          <w:lang w:val="en-US"/>
        </w:rPr>
        <w:t xml:space="preserve"> pooled and visualized using boxplots. A Wilcoxon test was performed to determine whether there was a significant difference in the before- and after-treatment values.</w:t>
      </w:r>
    </w:p>
    <w:p w14:paraId="5F11A298" w14:textId="15E15A88" w:rsidR="007A6DDD" w:rsidRPr="00DB58BF" w:rsidRDefault="007A6DDD" w:rsidP="0036711F">
      <w:pPr>
        <w:rPr>
          <w:lang w:val="en-US"/>
        </w:rPr>
      </w:pPr>
      <w:r w:rsidRPr="00DB58BF">
        <w:rPr>
          <w:lang w:val="en-US"/>
        </w:rPr>
        <w:t>The meta-analysis followed the recommendations of Harrer et al.</w:t>
      </w:r>
      <w:r w:rsidR="001A4462" w:rsidRPr="00DB58BF">
        <w:rPr>
          <w:lang w:val="en-US"/>
        </w:rPr>
        <w:t xml:space="preserve"> </w:t>
      </w:r>
      <w:r w:rsidR="00901C73" w:rsidRPr="00DB58BF">
        <w:rPr>
          <w:lang w:val="en-US"/>
        </w:rPr>
        <w:fldChar w:fldCharType="begin"/>
      </w:r>
      <w:r w:rsidR="00137E2C" w:rsidRPr="00DB58BF">
        <w:rPr>
          <w:lang w:val="en-US"/>
        </w:rPr>
        <w:instrText xml:space="preserve"> ADDIN ZOTERO_ITEM CSL_CITATION {"citationID":"LyxLhXCV","properties":{"formattedCitation":"[38]","plainCitation":"[38]","noteIndex":0},"citationItems":[{"id":926,"uris":["http://zotero.org/users/local/L5HAWlIW/items/BHQ8XZ8X"],"itemData":{"id":926,"type":"book","abstract":"\"This book serves as an accessible introduction into how meta-analyses can be conducted in R. Essential steps for meta-analysis are covered, including pooling of outcome measures, forest plots, heterogeneity diagnostics, subgroup analyses, meta-regression, methods to control for publication bias, risk of bias assessments and plotting tools. Advanced, but highly relevant topics such as network meta-analysis, multi-/three-level meta-analyses, Bayesian meta-analysis approaches, SEM meta-analysis are also covered. A companion R package, dmetar, is introduced in the beginning of the guide. It contains data sets and several helper functions for the meta and metafor package used in the guide\"--","call-number":"R853.M48","edition":"First edition","event-place":"Boca Raton","ISBN":"978-1-003-10734-7","number-of-pages":"1","publisher":"CRC Press","publisher-place":"Boca Raton","source":"Library of Congress ISBN","title":"Doing meta-analysis with R: a hands-on guide","title-short":"Doing meta-analysis with R","author":[{"family":"Harrer","given":"Mathias"}],"issued":{"date-parts":[["2022"]]}}}],"schema":"https://github.com/citation-style-language/schema/raw/master/csl-citation.json"} </w:instrText>
      </w:r>
      <w:r w:rsidR="00901C73" w:rsidRPr="00DB58BF">
        <w:rPr>
          <w:lang w:val="en-US"/>
        </w:rPr>
        <w:fldChar w:fldCharType="separate"/>
      </w:r>
      <w:r w:rsidR="00137E2C" w:rsidRPr="00DB58BF">
        <w:rPr>
          <w:rFonts w:cs="Times New Roman"/>
        </w:rPr>
        <w:t>[38]</w:t>
      </w:r>
      <w:r w:rsidR="00901C73" w:rsidRPr="00DB58BF">
        <w:rPr>
          <w:lang w:val="en-US"/>
        </w:rPr>
        <w:fldChar w:fldCharType="end"/>
      </w:r>
      <w:r w:rsidR="00D5482D" w:rsidRPr="00DB58BF">
        <w:rPr>
          <w:lang w:val="en-US"/>
        </w:rPr>
        <w:t>.</w:t>
      </w:r>
      <w:r w:rsidRPr="00DB58BF">
        <w:rPr>
          <w:lang w:val="en-US"/>
        </w:rPr>
        <w:t xml:space="preserve"> For each continuous outcome, we analyzed the before- and after-treatment means as well as mean differences. In one outcome, at least one study also provided the difference between before- and after-treatment means for a control group</w:t>
      </w:r>
      <w:r w:rsidR="0046796C" w:rsidRPr="00DB58BF">
        <w:rPr>
          <w:lang w:val="en-US"/>
        </w:rPr>
        <w:t xml:space="preserve"> (CG)</w:t>
      </w:r>
      <w:r w:rsidRPr="00DB58BF">
        <w:rPr>
          <w:lang w:val="en-US"/>
        </w:rPr>
        <w:t>. In such cases, we also analyzed the difference in these mean differences. The Hartung-Knapp adjustment was applied, and we used the classical inverse variance method with the restricted maximum likelihood estimator</w:t>
      </w:r>
      <w:r w:rsidR="001A4462" w:rsidRPr="00DB58BF">
        <w:rPr>
          <w:lang w:val="en-US"/>
        </w:rPr>
        <w:t xml:space="preserve"> </w:t>
      </w:r>
      <w:r w:rsidR="00DA5C41" w:rsidRPr="00DB58BF">
        <w:rPr>
          <w:lang w:val="en-US"/>
        </w:rPr>
        <w:fldChar w:fldCharType="begin"/>
      </w:r>
      <w:r w:rsidR="007A4EE4" w:rsidRPr="00DB58BF">
        <w:rPr>
          <w:lang w:val="en-US"/>
        </w:rPr>
        <w:instrText xml:space="preserve"> ADDIN ZOTERO_ITEM CSL_CITATION {"citationID":"vtg3d5BK","properties":{"formattedCitation":"[32]","plainCitation":"[32]","noteIndex":0},"citationItems":[{"id":153,"uris":["http://zotero.org/users/local/L5HAWlIW/items/MLYPF299"],"itemData":{"id":153,"type":"article-journal","abstract":"The DerSimonian and Laird approach (DL) is widely used for random effects meta-analysis, but this often results in inappropriate type I error rates. The method described by Hartung, Knapp, Sidik and Jonkman (HKSJ) is known to perform better when trials of similar size are combined. However evidence in realistic situations, where one trial might be much larger than the other trials, is lacking. We aimed to evaluate the relative performance of the DL and HKSJ methods when studies of different sizes are combined and to develop a simple method to convert DL results to HKSJ results. We evaluated the performance of the HKSJ versus DL approach in simulated meta-analyses of 2–20 trials with varying sample sizes and between-study heterogeneity, and allowing trials to have various sizes, e.g. 25% of the trials being 10-times larger than the smaller trials. We also compared the number of “positive” (statistically significant at p = 3 studies of interventions from the Cochrane Database of Systematic Reviews. The simulations showed that the HKSJ method consistently resulted in more adequate error rates than the DL method. When the significance level was 5%, the HKSJ error rates at most doubled, whereas for DL they could be over 30%. DL, and, far less so, HKSJ had more inflated error rates when the combined studies had unequal sizes and between-study heterogeneity. The empirical data from 689 meta-analyses showed that 25.1% of the significant findings for the DL method were non-significant with the HKSJ method. DL results can be easily converted into HKSJ results. Our simulations showed that the HKSJ method consistently results in more adequate error rates than the DL method, especially when the number of studies is small, and can easily be applied routinely in meta-analyses. Even with the HKSJ method, extra caution is needed when there are = &lt;5 studies of very unequal sizes.","container-title":"BMC medical research methodology","DOI":"10.1186/1471-2288-14-25","issue":"1","note":"publisher: BioMed Central","page":"25-25","title":"The Hartung-Knapp-Sidik-Jonkman method for random effects meta-analysis is straightforward and considerably outperforms the standard DerSimonian-Laird method","volume":"14","author":[{"family":"IntHout","given":"Joanna; Ioannidis","suffix":"John P. A.; Borm, George F."}],"issued":{"date-parts":[["2014"]]}}}],"schema":"https://github.com/citation-style-language/schema/raw/master/csl-citation.json"} </w:instrText>
      </w:r>
      <w:r w:rsidR="00DA5C41" w:rsidRPr="00DB58BF">
        <w:rPr>
          <w:lang w:val="en-US"/>
        </w:rPr>
        <w:fldChar w:fldCharType="separate"/>
      </w:r>
      <w:r w:rsidR="007A4EE4" w:rsidRPr="00DB58BF">
        <w:rPr>
          <w:rFonts w:cs="Times New Roman"/>
        </w:rPr>
        <w:t>[32]</w:t>
      </w:r>
      <w:r w:rsidR="00DA5C41" w:rsidRPr="00DB58BF">
        <w:rPr>
          <w:lang w:val="en-US"/>
        </w:rPr>
        <w:fldChar w:fldCharType="end"/>
      </w:r>
      <w:r w:rsidR="001A4462" w:rsidRPr="00DB58BF">
        <w:rPr>
          <w:lang w:val="en-US"/>
        </w:rPr>
        <w:t>.</w:t>
      </w:r>
    </w:p>
    <w:p w14:paraId="42978027" w14:textId="77777777" w:rsidR="007A6DDD" w:rsidRPr="00DB58BF" w:rsidRDefault="007A6DDD" w:rsidP="0036711F">
      <w:pPr>
        <w:rPr>
          <w:lang w:val="en-US"/>
        </w:rPr>
      </w:pPr>
      <w:r w:rsidRPr="00DB58BF">
        <w:rPr>
          <w:lang w:val="en-US"/>
        </w:rPr>
        <w:t>Heterogeneity was assessed using the I² statistic with confidence intervals and the Cochrane Q test. I² values of 25%, 50%, and 75% were interpreted as low, moderate, and high heterogeneity, respectively.</w:t>
      </w:r>
    </w:p>
    <w:p w14:paraId="0949B582" w14:textId="16E7B5BD" w:rsidR="005D08AE" w:rsidRPr="00DB58BF" w:rsidRDefault="007A6DDD" w:rsidP="0036711F">
      <w:pPr>
        <w:rPr>
          <w:lang w:val="en-US"/>
        </w:rPr>
      </w:pPr>
      <w:r w:rsidRPr="00DB58BF">
        <w:rPr>
          <w:lang w:val="en-US"/>
        </w:rPr>
        <w:t>In some instances, only the median and interquartile range of a continuous outcome were available. In these cases, we used methods outlined by Luo et al.,</w:t>
      </w:r>
      <w:r w:rsidR="0032049E" w:rsidRPr="00DB58BF">
        <w:rPr>
          <w:lang w:val="en-US"/>
        </w:rPr>
        <w:t xml:space="preserve"> and Wan et al.,</w:t>
      </w:r>
      <w:r w:rsidRPr="00DB58BF">
        <w:rPr>
          <w:lang w:val="en-US"/>
        </w:rPr>
        <w:t xml:space="preserve"> similar to the first study</w:t>
      </w:r>
      <w:r w:rsidR="001A4462" w:rsidRPr="00DB58BF">
        <w:rPr>
          <w:lang w:val="en-US"/>
        </w:rPr>
        <w:t xml:space="preserve"> </w:t>
      </w:r>
      <w:r w:rsidR="00031D6E" w:rsidRPr="00DB58BF">
        <w:rPr>
          <w:lang w:val="en-US"/>
        </w:rPr>
        <w:fldChar w:fldCharType="begin"/>
      </w:r>
      <w:r w:rsidR="00A37CE6" w:rsidRPr="00DB58BF">
        <w:rPr>
          <w:lang w:val="en-US"/>
        </w:rPr>
        <w:instrText xml:space="preserve"> ADDIN ZOTERO_ITEM CSL_CITATION {"citationID":"NxWcfGbW","properties":{"formattedCitation":"[39,40]","plainCitation":"[39,40]","noteIndex":0},"citationItems":[{"id":142,"uris":["http://zotero.org/users/local/L5HAWlIW/items/5D4CWB2V"],"itemData":{"id":142,"type":"article-journal","abstract":"The era of big data is coming, and evidence-based medicine is attracting increasing attention to improve decision making in medical practice via integrating evidence from well designed and conducted clinical research. Meta-analysis is a statistical technique widely used in evidence-based medicine for analytically combining the findings from independent clinical trials to provide an overall estimation of a treatment effectiveness. The sample mean and standard deviation are two commonly used statistics in meta-analysis but some trials use the median, the minimum and maximum values, or sometimes the first and third quartiles to report the results. Thus, to pool results in a consistent format, researchers need to transform those information back to the sample mean and standard deviation. In this article, we investigate the optimal estimation of the sample mean for meta-analysis from both theoretical and empirical perspectives. A major drawback in the literature is that the sample size, needless to say its imp...","container-title":"Statistical methods in medical research","DOI":"10.1177/0962280216669183","issue":"6","note":"publisher: SAGE Publications Ltd","page":"1785-1805","title":"Optimally estimating the sample mean from the sample size, median, mid-range, and/or mid-quartile range","volume":"27","author":[{"family":"Luo","given":"Dehui; Wan","suffix":"Xiang; Liu, Jiming; Tong, Tiejun"}],"issued":{"date-parts":[["2016"]]}}},{"id":927,"uris":["http://zotero.org/users/local/L5HAWlIW/items/KPEAHK2R"],"itemData":{"id":927,"type":"article-journal","container-title":"BMC Medical Research Methodology","DOI":"10.1186/1471-2288-14-135","ISSN":"1471-2288","issue":"1","journalAbbreviation":"BMC Med Res Methodol","language":"en","page":"135","source":"DOI.org (Crossref)","title":"Estimating the sample mean and standard deviation from the sample size, median, range and/or interquartile range","volume":"14","author":[{"family":"Wan","given":"Xiang"},{"family":"Wang","given":"Wenqian"},{"family":"Liu","given":"Jiming"},{"family":"Tong","given":"Tiejun"}],"issued":{"date-parts":[["2014",12]]}}}],"schema":"https://github.com/citation-style-language/schema/raw/master/csl-citation.json"} </w:instrText>
      </w:r>
      <w:r w:rsidR="00031D6E" w:rsidRPr="00DB58BF">
        <w:rPr>
          <w:lang w:val="en-US"/>
        </w:rPr>
        <w:fldChar w:fldCharType="separate"/>
      </w:r>
      <w:r w:rsidR="00A37CE6" w:rsidRPr="00DB58BF">
        <w:rPr>
          <w:rFonts w:cs="Times New Roman"/>
        </w:rPr>
        <w:t>[39,40]</w:t>
      </w:r>
      <w:r w:rsidR="00031D6E" w:rsidRPr="00DB58BF">
        <w:rPr>
          <w:lang w:val="en-US"/>
        </w:rPr>
        <w:fldChar w:fldCharType="end"/>
      </w:r>
      <w:r w:rsidR="001A4462" w:rsidRPr="00DB58BF">
        <w:rPr>
          <w:lang w:val="en-US"/>
        </w:rPr>
        <w:t>.</w:t>
      </w:r>
      <w:r w:rsidRPr="00DB58BF">
        <w:rPr>
          <w:lang w:val="en-US"/>
        </w:rPr>
        <w:t xml:space="preserve"> While standard deviations for before- and after-treatment outcomes were available or estimable, the standard deviation of the change was missing. Following the Cochrane Handbook guidelines, we tested correlations ranging from −0.5 to 0.9 </w:t>
      </w:r>
      <w:r w:rsidR="001648F4" w:rsidRPr="00DB58BF">
        <w:rPr>
          <w:lang w:val="en-US"/>
        </w:rPr>
        <w:fldChar w:fldCharType="begin"/>
      </w:r>
      <w:r w:rsidR="00B62093" w:rsidRPr="00DB58BF">
        <w:rPr>
          <w:lang w:val="en-US"/>
        </w:rPr>
        <w:instrText xml:space="preserve"> ADDIN ZOTERO_ITEM CSL_CITATION {"citationID":"xxHU4sBw","properties":{"formattedCitation":"[29]","plainCitation":"[29]","noteIndex":0},"citationItems":[{"id":55,"uris":["http://zotero.org/users/local/L5HAWlIW/items/FJ7NFJSK"],"itemData":{"id":55,"type":"book","ISBN":"978-1-119-53660-4","language":"English","note":"OCLC: 1167575221","source":"Open WorldCat","title":"Cochrane handbook for systematic reviews of interventions","URL":"https://doi.org/10.1002/9781119536604","author":[{"family":"Higgins","given":"Julian P. T"},{"family":"Thomas","given":"James"},{"family":"Chandler","given":"Jackie"},{"family":"Cumpston","given":"Miranda"},{"family":"Li","given":"Tianjing"},{"family":"Page","given":"Matthew J"},{"family":"Welch","given":"Vivian A"},{"literal":"Cochrane Collaboration"}],"accessed":{"date-parts":[["2022",7,4]]},"issued":{"date-parts":[["2020"]]}}}],"schema":"https://github.com/citation-style-language/schema/raw/master/csl-citation.json"} </w:instrText>
      </w:r>
      <w:r w:rsidR="001648F4" w:rsidRPr="00DB58BF">
        <w:rPr>
          <w:lang w:val="en-US"/>
        </w:rPr>
        <w:fldChar w:fldCharType="separate"/>
      </w:r>
      <w:r w:rsidR="00B62093" w:rsidRPr="00DB58BF">
        <w:rPr>
          <w:rFonts w:cs="Times New Roman"/>
        </w:rPr>
        <w:t>[29]</w:t>
      </w:r>
      <w:r w:rsidR="001648F4" w:rsidRPr="00DB58BF">
        <w:rPr>
          <w:lang w:val="en-US"/>
        </w:rPr>
        <w:fldChar w:fldCharType="end"/>
      </w:r>
      <w:r w:rsidR="001A4462" w:rsidRPr="00DB58BF">
        <w:rPr>
          <w:lang w:val="en-US"/>
        </w:rPr>
        <w:t xml:space="preserve">. </w:t>
      </w:r>
      <w:r w:rsidRPr="00DB58BF">
        <w:rPr>
          <w:lang w:val="en-US"/>
        </w:rPr>
        <w:t>All tested correlations yielded similar results, and the published results were based on a correlation of 0.8.</w:t>
      </w:r>
    </w:p>
    <w:p w14:paraId="557C74EF" w14:textId="66C19B04" w:rsidR="00444302" w:rsidRPr="00DB58BF" w:rsidRDefault="00444302" w:rsidP="0036711F">
      <w:pPr>
        <w:pStyle w:val="Heading3"/>
        <w:rPr>
          <w:szCs w:val="24"/>
          <w:lang w:val="en-US"/>
        </w:rPr>
      </w:pPr>
      <w:bookmarkStart w:id="22" w:name="_Toc211542201"/>
      <w:r w:rsidRPr="00DB58BF">
        <w:rPr>
          <w:szCs w:val="24"/>
          <w:lang w:val="en-US"/>
        </w:rPr>
        <w:t>7.2.3. Quality of evidence and risk of bias assessment</w:t>
      </w:r>
      <w:bookmarkEnd w:id="22"/>
    </w:p>
    <w:p w14:paraId="6B433347" w14:textId="45B5F85B" w:rsidR="00444302" w:rsidRPr="00DB58BF" w:rsidRDefault="003F4A6E" w:rsidP="0036711F">
      <w:pPr>
        <w:rPr>
          <w:lang w:val="en-US"/>
        </w:rPr>
      </w:pPr>
      <w:r w:rsidRPr="00DB58BF">
        <w:rPr>
          <w:lang w:val="en-US"/>
        </w:rPr>
        <w:t>W</w:t>
      </w:r>
      <w:r w:rsidR="00F61574" w:rsidRPr="00DB58BF">
        <w:rPr>
          <w:lang w:val="en-US"/>
        </w:rPr>
        <w:t>e followed the Cochrane Collaboration's recommendations for evaluating the quality of studies and used the GRADE approach for assessment</w:t>
      </w:r>
      <w:r w:rsidR="001A4462" w:rsidRPr="00DB58BF">
        <w:rPr>
          <w:lang w:val="en-US"/>
        </w:rPr>
        <w:t xml:space="preserve"> </w:t>
      </w:r>
      <w:r w:rsidR="001648F4" w:rsidRPr="00DB58BF">
        <w:rPr>
          <w:lang w:val="en-US"/>
        </w:rPr>
        <w:fldChar w:fldCharType="begin"/>
      </w:r>
      <w:r w:rsidR="0091050E" w:rsidRPr="00DB58BF">
        <w:rPr>
          <w:lang w:val="en-US"/>
        </w:rPr>
        <w:instrText xml:space="preserve"> ADDIN ZOTERO_ITEM CSL_CITATION {"citationID":"TReKVWcV","properties":{"formattedCitation":"[29,37]","plainCitation":"[29,37]","noteIndex":0},"citationItems":[{"id":55,"uris":["http://zotero.org/users/local/L5HAWlIW/items/FJ7NFJSK"],"itemData":{"id":55,"type":"book","ISBN":"978-1-119-53660-4","language":"English","note":"OCLC: 1167575221","source":"Open WorldCat","title":"Cochrane handbook for systematic reviews of interventions","URL":"https://doi.org/10.1002/9781119536604","author":[{"family":"Higgins","given":"Julian P. T"},{"family":"Thomas","given":"James"},{"family":"Chandler","given":"Jackie"},{"family":"Cumpston","given":"Miranda"},{"family":"Li","given":"Tianjing"},{"family":"Page","given":"Matthew J"},{"family":"Welch","given":"Vivian A"},{"literal":"Cochrane Collaboration"}],"accessed":{"date-parts":[["2022",7,4]]},"issued":{"date-parts":[["2020"]]}}},{"id":1449,"uris":["http://zotero.org/users/local/L5HAWlIW/items/A8LULEQR"],"itemData":{"id":1449,"type":"software","title":"GRADEpro GDT: GRADEpro Guideline Development Tool","URL":"gradepro.org","contributor":[{"literal":"McMaster"},{"literal":"University and Evidence Prime,"}],"issued":{"date-parts":[["2022"]]}}}],"schema":"https://github.com/citation-style-language/schema/raw/master/csl-citation.json"} </w:instrText>
      </w:r>
      <w:r w:rsidR="001648F4" w:rsidRPr="00DB58BF">
        <w:rPr>
          <w:lang w:val="en-US"/>
        </w:rPr>
        <w:fldChar w:fldCharType="separate"/>
      </w:r>
      <w:r w:rsidR="0091050E" w:rsidRPr="00DB58BF">
        <w:rPr>
          <w:rFonts w:cs="Times New Roman"/>
        </w:rPr>
        <w:t>[29,37]</w:t>
      </w:r>
      <w:r w:rsidR="001648F4" w:rsidRPr="00DB58BF">
        <w:rPr>
          <w:lang w:val="en-US"/>
        </w:rPr>
        <w:fldChar w:fldCharType="end"/>
      </w:r>
      <w:r w:rsidR="001A4462" w:rsidRPr="00DB58BF">
        <w:rPr>
          <w:lang w:val="en-US"/>
        </w:rPr>
        <w:t>.</w:t>
      </w:r>
      <w:r w:rsidR="00F61574" w:rsidRPr="00DB58BF">
        <w:rPr>
          <w:lang w:val="en-US"/>
        </w:rPr>
        <w:t xml:space="preserve"> </w:t>
      </w:r>
      <w:r w:rsidR="000A6619" w:rsidRPr="00DB58BF">
        <w:rPr>
          <w:lang w:val="en-US"/>
        </w:rPr>
        <w:t>The methodological quality of the case series was recommended to be assessed using the Joanna Briggs Institute Critical Appraisal Tool</w:t>
      </w:r>
      <w:r w:rsidR="001A4462" w:rsidRPr="00DB58BF">
        <w:rPr>
          <w:lang w:val="en-US"/>
        </w:rPr>
        <w:t xml:space="preserve"> </w:t>
      </w:r>
      <w:r w:rsidR="00CC54C5" w:rsidRPr="00DB58BF">
        <w:rPr>
          <w:lang w:val="en-US"/>
        </w:rPr>
        <w:fldChar w:fldCharType="begin"/>
      </w:r>
      <w:r w:rsidR="00C41377" w:rsidRPr="00DB58BF">
        <w:rPr>
          <w:lang w:val="en-US"/>
        </w:rPr>
        <w:instrText xml:space="preserve"> ADDIN ZOTERO_ITEM CSL_CITATION {"citationID":"CspZNgj1","properties":{"formattedCitation":"[41]","plainCitation":"[41]","noteIndex":0},"citationItems":[{"id":5112,"uris":["http://zotero.org/users/local/L5HAWlIW/items/3VVN6YMS"],"itemData":{"id":5112,"type":"article-journal","container-title":"JBI Database of Systematic Reviews and Implementation Reports","DOI":"10.11124/JBISRIR-D-19-00099","ISSN":"2202-4433","language":"en","source":"DOI.org (Crossref)","title":"Methodological quality of case series studies: an introduction to the JBI critical appraisal tool","title-short":"Methodological quality of case series studies","URL":"https://journals.lww.com/10.11124/JBISRIR-D-19-00099","volume":"Publish Ahead of Print","author":[{"family":"Munn","given":"Zachary"},{"family":"Barker","given":"Timothy Hugh"},{"family":"Moola","given":"Sandeep"},{"family":"Tufanaru","given":"Catalin"},{"family":"Stern","given":"Cindy"},{"family":"McArthur","given":"Alexa"},{"family":"Stephenson","given":"Matthew"},{"family":"Aromataris","given":"Edoardo"}],"accessed":{"date-parts":[["2025",6,7]]},"issued":{"date-parts":[["2019",9,23]]}}}],"schema":"https://github.com/citation-style-language/schema/raw/master/csl-citation.json"} </w:instrText>
      </w:r>
      <w:r w:rsidR="00CC54C5" w:rsidRPr="00DB58BF">
        <w:rPr>
          <w:lang w:val="en-US"/>
        </w:rPr>
        <w:fldChar w:fldCharType="separate"/>
      </w:r>
      <w:r w:rsidR="00C41377" w:rsidRPr="00DB58BF">
        <w:rPr>
          <w:rFonts w:cs="Times New Roman"/>
        </w:rPr>
        <w:t>[41]</w:t>
      </w:r>
      <w:r w:rsidR="00CC54C5" w:rsidRPr="00DB58BF">
        <w:rPr>
          <w:lang w:val="en-US"/>
        </w:rPr>
        <w:fldChar w:fldCharType="end"/>
      </w:r>
      <w:r w:rsidR="001A4462" w:rsidRPr="00DB58BF">
        <w:rPr>
          <w:lang w:val="en-US"/>
        </w:rPr>
        <w:t>.</w:t>
      </w:r>
      <w:r w:rsidR="000A6619" w:rsidRPr="00DB58BF">
        <w:rPr>
          <w:lang w:val="en-US"/>
        </w:rPr>
        <w:t xml:space="preserve"> </w:t>
      </w:r>
      <w:r w:rsidR="00F61574" w:rsidRPr="00DB58BF">
        <w:rPr>
          <w:lang w:val="en-US"/>
        </w:rPr>
        <w:t>The evaluations were conducted independently by two authors, with a third author consulted to resolve any disagreements.</w:t>
      </w:r>
      <w:r w:rsidR="00075B55" w:rsidRPr="00DB58BF">
        <w:rPr>
          <w:lang w:val="en-US"/>
        </w:rPr>
        <w:t xml:space="preserve"> </w:t>
      </w:r>
      <w:r w:rsidR="002B220D" w:rsidRPr="00DB58BF">
        <w:rPr>
          <w:lang w:val="en-US"/>
        </w:rPr>
        <w:t>For the risk of bias assessment, we employed study-type-appropriate tools: the Joanna Briggs Institute Critical Appraisal Tool</w:t>
      </w:r>
      <w:r w:rsidR="001A4462" w:rsidRPr="00DB58BF">
        <w:rPr>
          <w:lang w:val="en-US"/>
        </w:rPr>
        <w:t xml:space="preserve"> </w:t>
      </w:r>
      <w:r w:rsidR="002709B4" w:rsidRPr="00DB58BF">
        <w:rPr>
          <w:lang w:val="en-US"/>
        </w:rPr>
        <w:fldChar w:fldCharType="begin"/>
      </w:r>
      <w:r w:rsidR="00A864CC" w:rsidRPr="00DB58BF">
        <w:rPr>
          <w:lang w:val="en-US"/>
        </w:rPr>
        <w:instrText xml:space="preserve"> ADDIN ZOTERO_ITEM CSL_CITATION {"citationID":"3V3uN1gX","properties":{"formattedCitation":"[42]","plainCitation":"[42]","noteIndex":0},"citationItems":[{"id":5110,"uris":["http://zotero.org/users/local/L5HAWlIW/items/6CF6RC4Q"],"itemData":{"id":5110,"type":"article-journal","abstract":"Background\n              A case report is a narrative that describes, for medical, scientific, or educational purposes, a medical problem experienced by one or more patients. Case reports written without guidance from reporting standards are insufficiently rigorous to guide clinical practice or to inform clinical study design.\n            \n            \n              Objective\n              Develop, disseminate, and implement systematic reporting guidelines for case reports.\n            \n            \n              Methods\n              We used a three‐phase consensus process consisting of (1) pre‐meeting literature review and interviews to generate items for the reporting guidelines, (2) a face‐to‐face consensus meeting to draft the reporting guidelines, and (3) post‐meeting feedback, review, and pilot testing, followed by finalization of the case report guidelines.\n            \n            \n              Results\n              This consensus process involved 27 participants and resulted in a 13‐item checklist—a reporting guideline for case reports. The primary items of the checklist are title, key words, abstract, introduction, patient information, clinical findings, timeline, diagnostic assessment, therapeutic interventions, follow‐up and outcomes, discussion, patient perspective, and informed consent.\n            \n            \n              Conclusions\n              We believe the implementation of the CARE (CAse REport) guidelines by medical journals will improve the completeness and transparency of published case reports and that the systematic aggregation of information from case reports will inform clinical study design, provide early signals of effectiveness and harms, and improve healthcare delivery.","container-title":"Headache: The Journal of Head and Face Pain","DOI":"10.1111/head.12246","ISSN":"0017-8748, 1526-4610","issue":"10","journalAbbreviation":"Headache","language":"en","license":"http://creativecommons.org/licenses/by-nc-nd/3.0/","page":"1541-1547","source":"DOI.org (Crossref)","title":"The CARE Guidelines: Consensus‐Based Clinical Case Reporting Guideline Development","title-short":"The &lt;span style=\"font-variant","volume":"53","author":[{"family":"Gagnier","given":"Joel J."},{"family":"Kienle","given":"Gunver"},{"family":"Altman","given":"Douglas G."},{"family":"Moher","given":"David"},{"family":"Sox","given":"Harold"},{"family":"Riley","given":"David"},{"literal":"CARE Group"}],"issued":{"date-parts":[["2013",11]]}}}],"schema":"https://github.com/citation-style-language/schema/raw/master/csl-citation.json"} </w:instrText>
      </w:r>
      <w:r w:rsidR="002709B4" w:rsidRPr="00DB58BF">
        <w:rPr>
          <w:lang w:val="en-US"/>
        </w:rPr>
        <w:fldChar w:fldCharType="separate"/>
      </w:r>
      <w:r w:rsidR="00A864CC" w:rsidRPr="00DB58BF">
        <w:rPr>
          <w:rFonts w:cs="Times New Roman"/>
        </w:rPr>
        <w:t>[42]</w:t>
      </w:r>
      <w:r w:rsidR="002709B4" w:rsidRPr="00DB58BF">
        <w:rPr>
          <w:lang w:val="en-US"/>
        </w:rPr>
        <w:fldChar w:fldCharType="end"/>
      </w:r>
      <w:r w:rsidR="002B220D" w:rsidRPr="00DB58BF">
        <w:rPr>
          <w:lang w:val="en-US"/>
        </w:rPr>
        <w:t xml:space="preserve"> for case reports and case series; the ROBINS-I tool for cohort studies; and the RoB-2 tool for randomized controlled trials</w:t>
      </w:r>
      <w:r w:rsidR="001A4462" w:rsidRPr="00DB58BF">
        <w:rPr>
          <w:lang w:val="en-US"/>
        </w:rPr>
        <w:t xml:space="preserve"> </w:t>
      </w:r>
      <w:r w:rsidR="00F41B5B" w:rsidRPr="00DB58BF">
        <w:rPr>
          <w:lang w:val="en-US"/>
        </w:rPr>
        <w:fldChar w:fldCharType="begin"/>
      </w:r>
      <w:r w:rsidR="00194236" w:rsidRPr="00DB58BF">
        <w:rPr>
          <w:lang w:val="en-US"/>
        </w:rPr>
        <w:instrText xml:space="preserve"> ADDIN ZOTERO_ITEM CSL_CITATION {"citationID":"xQVzoDPI","properties":{"formattedCitation":"[43,44]","plainCitation":"[43,44]","noteIndex":0},"citationItems":[{"id":5114,"uris":["http://zotero.org/users/local/L5HAWlIW/items/VSJRG7DV"],"itemData":{"id":5114,"type":"article-journal","container-title":"BMJ","DOI":"10.1136/bmj.i4919","ISSN":"1756-1833","language":"en","license":"http://www.bmj.org/licenses/tdm/1.0/terms-and-conditions.html","note":"publisher: BMJ","page":"i4919","source":"Crossref","title":"ROBINS-I: a tool for assessing risk of bias in non-randomised studies of interventions","title-short":"ROBINS-I","author":[{"family":"Sterne","given":"Jonathan Ac"},{"family":"Hernán","given":"Miguel A"},{"family":"Reeves","given":"Barnaby C"},{"family":"Savović","given":"Jelena"},{"family":"Berkman","given":"Nancy D"},{"family":"Viswanathan","given":"Meera"},{"family":"Henry","given":"David"},{"family":"Altman","given":"Douglas G"},{"family":"Ansari","given":"Mohammed T"},{"family":"Boutron","given":"Isabelle"},{"family":"Carpenter","given":"James R"},{"family":"Chan","given":"An-Wen"},{"family":"Churchill","given":"Rachel"},{"family":"Deeks","given":"Jonathan J"},{"family":"Hróbjartsson","given":"Asbjørn"},{"family":"Kirkham","given":"Jamie"},{"family":"Jüni","given":"Peter"},{"family":"Loke","given":"Yoon K"},{"family":"Pigott","given":"Theresa D"},{"family":"Ramsay","given":"Craig R"},{"family":"Regidor","given":"Deborah"},{"family":"Rothstein","given":"Hannah R"},{"family":"Sandhu","given":"Lakhbir"},{"family":"Santaguida","given":"Pasqualina L"},{"family":"Schünemann","given":"Holger J"},{"family":"Shea","given":"Beverly"},{"family":"Shrier","given":"Ian"},{"family":"Tugwell","given":"Peter"},{"family":"Turner","given":"Lucy"},{"family":"Valentine","given":"Jeffrey C"},{"family":"Waddington","given":"Hugh"},{"family":"Waters","given":"Elizabeth"},{"family":"Wells","given":"George A"},{"family":"Whiting","given":"Penny F"},{"family":"Higgins","given":"Julian Pt"}],"issued":{"date-parts":[["2016",10,12]]}}},{"id":1444,"uris":["http://zotero.org/users/local/L5HAWlIW/items/23DGRVEE"],"itemData":{"id":1444,"type":"article-journal","container-title":"BMJ","DOI":"10.1136/bmj.i4919","ISSN":"1756-1833","journalAbbreviation":"BMJ","language":"en","page":"i4919","source":"DOI.org (Crossref)","title":"ROBINS-I: a tool for assessing risk of bias in non-randomised studies of interventions","title-short":"ROBINS-I","author":[{"family":"Sterne","given":"Jonathan Ac"},{"family":"Hernán","given":"Miguel A"},{"family":"Reeves","given":"Barnaby C"},{"family":"Savović","given":"Jelena"},{"family":"Berkman","given":"Nancy D"},{"family":"Viswanathan","given":"Meera"},{"family":"Henry","given":"David"},{"family":"Altman","given":"Douglas G"},{"family":"Ansari","given":"Mohammed T"},{"family":"Boutron","given":"Isabelle"},{"family":"Carpenter","given":"James R"},{"family":"Chan","given":"An-Wen"},{"family":"Churchill","given":"Rachel"},{"family":"Deeks","given":"Jonathan J"},{"family":"Hróbjartsson","given":"Asbjørn"},{"family":"Kirkham","given":"Jamie"},{"family":"Jüni","given":"Peter"},{"family":"Loke","given":"Yoon K"},{"family":"Pigott","given":"Theresa D"},{"family":"Ramsay","given":"Craig R"},{"family":"Regidor","given":"Deborah"},{"family":"Rothstein","given":"Hannah R"},{"family":"Sandhu","given":"Lakhbir"},{"family":"Santaguida","given":"Pasqualina L"},{"family":"Schünemann","given":"Holger J"},{"family":"Shea","given":"Beverly"},{"family":"Shrier","given":"Ian"},{"family":"Tugwell","given":"Peter"},{"family":"Turner","given":"Lucy"},{"family":"Valentine","given":"Jeffrey C"},{"family":"Waddington","given":"Hugh"},{"family":"Waters","given":"Elizabeth"},{"family":"Wells","given":"George A"},{"family":"Whiting","given":"Penny F"},{"family":"Higgins","given":"Julian Pt"}],"issued":{"date-parts":[["2016",10,12]]}}}],"schema":"https://github.com/citation-style-language/schema/raw/master/csl-citation.json"} </w:instrText>
      </w:r>
      <w:r w:rsidR="00F41B5B" w:rsidRPr="00DB58BF">
        <w:rPr>
          <w:lang w:val="en-US"/>
        </w:rPr>
        <w:fldChar w:fldCharType="separate"/>
      </w:r>
      <w:r w:rsidR="00194236" w:rsidRPr="00DB58BF">
        <w:rPr>
          <w:rFonts w:cs="Times New Roman"/>
        </w:rPr>
        <w:t>[43,44]</w:t>
      </w:r>
      <w:r w:rsidR="00F41B5B" w:rsidRPr="00DB58BF">
        <w:rPr>
          <w:lang w:val="en-US"/>
        </w:rPr>
        <w:fldChar w:fldCharType="end"/>
      </w:r>
      <w:r w:rsidR="001A4462" w:rsidRPr="00DB58BF">
        <w:rPr>
          <w:lang w:val="en-US"/>
        </w:rPr>
        <w:t>.</w:t>
      </w:r>
    </w:p>
    <w:p w14:paraId="1EE55BCE" w14:textId="77777777" w:rsidR="009D62C6" w:rsidRPr="00DB58BF" w:rsidRDefault="009D62C6" w:rsidP="0036711F">
      <w:pPr>
        <w:rPr>
          <w:rFonts w:eastAsiaTheme="majorEastAsia" w:cstheme="majorBidi"/>
          <w:b/>
          <w:lang w:val="en-US"/>
        </w:rPr>
      </w:pPr>
      <w:r w:rsidRPr="00DB58BF">
        <w:rPr>
          <w:lang w:val="en-US"/>
        </w:rPr>
        <w:br w:type="page"/>
      </w:r>
    </w:p>
    <w:p w14:paraId="086EF77A" w14:textId="35C342C5" w:rsidR="00B41FBB" w:rsidRPr="00DB58BF" w:rsidRDefault="00B41FBB" w:rsidP="0036711F">
      <w:pPr>
        <w:pStyle w:val="Heading1"/>
        <w:rPr>
          <w:b w:val="0"/>
          <w:szCs w:val="24"/>
          <w:lang w:val="en-US"/>
        </w:rPr>
      </w:pPr>
      <w:bookmarkStart w:id="23" w:name="_Toc211542202"/>
      <w:r w:rsidRPr="00DB58BF">
        <w:rPr>
          <w:szCs w:val="24"/>
          <w:lang w:val="en-US"/>
        </w:rPr>
        <w:lastRenderedPageBreak/>
        <w:t>8. RESULTS</w:t>
      </w:r>
      <w:bookmarkEnd w:id="23"/>
    </w:p>
    <w:p w14:paraId="3CB71B47" w14:textId="212CAED3" w:rsidR="00B41FBB" w:rsidRPr="00DB58BF" w:rsidRDefault="00B41FBB" w:rsidP="0036711F">
      <w:pPr>
        <w:pStyle w:val="Heading2"/>
        <w:rPr>
          <w:szCs w:val="24"/>
          <w:lang w:val="en-US"/>
        </w:rPr>
      </w:pPr>
      <w:bookmarkStart w:id="24" w:name="_Toc211542203"/>
      <w:r w:rsidRPr="00DB58BF">
        <w:rPr>
          <w:szCs w:val="24"/>
          <w:lang w:val="en-US"/>
        </w:rPr>
        <w:t>8.1. Study I.</w:t>
      </w:r>
      <w:r w:rsidR="000B4647" w:rsidRPr="00DB58BF">
        <w:rPr>
          <w:szCs w:val="24"/>
          <w:lang w:val="en-US"/>
        </w:rPr>
        <w:t xml:space="preserve"> </w:t>
      </w:r>
      <w:r w:rsidR="00B07668" w:rsidRPr="00DB58BF">
        <w:rPr>
          <w:szCs w:val="24"/>
          <w:lang w:val="en-US"/>
        </w:rPr>
        <w:t>– Individualized vs. fixed intraoperative PEEP settings</w:t>
      </w:r>
      <w:bookmarkEnd w:id="24"/>
    </w:p>
    <w:p w14:paraId="20EF0A87" w14:textId="139E1F18" w:rsidR="00A31D18" w:rsidRPr="00DB58BF" w:rsidRDefault="0078131A" w:rsidP="0036711F">
      <w:pPr>
        <w:pStyle w:val="Heading3"/>
        <w:rPr>
          <w:szCs w:val="24"/>
          <w:lang w:val="en-US"/>
        </w:rPr>
      </w:pPr>
      <w:bookmarkStart w:id="25" w:name="_Toc211542204"/>
      <w:r w:rsidRPr="00DB58BF">
        <w:rPr>
          <w:szCs w:val="24"/>
          <w:lang w:val="en-US"/>
        </w:rPr>
        <w:t>8.1.1. Systema</w:t>
      </w:r>
      <w:r w:rsidR="00283EAD" w:rsidRPr="00DB58BF">
        <w:rPr>
          <w:szCs w:val="24"/>
          <w:lang w:val="en-US"/>
        </w:rPr>
        <w:t>t</w:t>
      </w:r>
      <w:r w:rsidRPr="00DB58BF">
        <w:rPr>
          <w:szCs w:val="24"/>
          <w:lang w:val="en-US"/>
        </w:rPr>
        <w:t>ic search and selection</w:t>
      </w:r>
      <w:bookmarkEnd w:id="25"/>
      <w:r w:rsidRPr="00DB58BF">
        <w:rPr>
          <w:szCs w:val="24"/>
          <w:lang w:val="en-US"/>
        </w:rPr>
        <w:t xml:space="preserve"> </w:t>
      </w:r>
    </w:p>
    <w:p w14:paraId="066C8370" w14:textId="35116D03" w:rsidR="003F0E4E" w:rsidRPr="00DB58BF" w:rsidRDefault="003F0E4E" w:rsidP="0036711F">
      <w:pPr>
        <w:rPr>
          <w:lang w:val="en-US"/>
        </w:rPr>
      </w:pPr>
      <w:r w:rsidRPr="00DB58BF">
        <w:rPr>
          <w:lang w:val="en-US"/>
        </w:rPr>
        <w:t>Our systematic search identified 1,541 articles, which underwent the selection process. Eventually, 30 studies were deemed eligible for inclusion in our data synthesis</w:t>
      </w:r>
      <w:r w:rsidR="000F149A" w:rsidRPr="00DB58BF">
        <w:rPr>
          <w:lang w:val="en-US"/>
        </w:rPr>
        <w:t xml:space="preserve">. The selection process is presented </w:t>
      </w:r>
      <w:r w:rsidR="00123126" w:rsidRPr="00DB58BF">
        <w:rPr>
          <w:lang w:val="en-US"/>
        </w:rPr>
        <w:t>on</w:t>
      </w:r>
      <w:r w:rsidR="003F4A6E" w:rsidRPr="00DB58BF">
        <w:rPr>
          <w:lang w:val="en-US"/>
        </w:rPr>
        <w:t xml:space="preserve"> </w:t>
      </w:r>
      <w:r w:rsidR="00123126" w:rsidRPr="00DB58BF">
        <w:rPr>
          <w:lang w:val="en-US"/>
        </w:rPr>
        <w:t xml:space="preserve">the PRISMA flowchart </w:t>
      </w:r>
      <w:r w:rsidR="00DF4CE7" w:rsidRPr="00DB58BF">
        <w:rPr>
          <w:lang w:val="en-US"/>
        </w:rPr>
        <w:t>(</w:t>
      </w:r>
      <w:r w:rsidR="001F1E7E" w:rsidRPr="00DB58BF">
        <w:rPr>
          <w:lang w:val="en-US"/>
        </w:rPr>
        <w:fldChar w:fldCharType="begin"/>
      </w:r>
      <w:r w:rsidR="001F1E7E" w:rsidRPr="00DB58BF">
        <w:rPr>
          <w:lang w:val="en-US"/>
        </w:rPr>
        <w:instrText xml:space="preserve"> REF _Ref204002496 \h </w:instrText>
      </w:r>
      <w:r w:rsidR="00DB58BF">
        <w:rPr>
          <w:lang w:val="en-US"/>
        </w:rPr>
        <w:instrText xml:space="preserve"> \* MERGEFORMAT </w:instrText>
      </w:r>
      <w:r w:rsidR="001F1E7E" w:rsidRPr="00DB58BF">
        <w:rPr>
          <w:lang w:val="en-US"/>
        </w:rPr>
      </w:r>
      <w:r w:rsidR="001F1E7E" w:rsidRPr="00DB58BF">
        <w:rPr>
          <w:lang w:val="en-US"/>
        </w:rPr>
        <w:fldChar w:fldCharType="separate"/>
      </w:r>
      <w:r w:rsidR="001F1E7E" w:rsidRPr="00DB58BF">
        <w:rPr>
          <w:lang w:val="en-US"/>
        </w:rPr>
        <w:fldChar w:fldCharType="end"/>
      </w:r>
      <w:r w:rsidR="00024C82" w:rsidRPr="00DB58BF">
        <w:rPr>
          <w:lang w:val="en-US"/>
        </w:rPr>
        <w:fldChar w:fldCharType="begin"/>
      </w:r>
      <w:r w:rsidR="00024C82" w:rsidRPr="00DB58BF">
        <w:rPr>
          <w:lang w:val="en-US"/>
        </w:rPr>
        <w:instrText xml:space="preserve"> REF _Ref204002502 \h </w:instrText>
      </w:r>
      <w:r w:rsidR="00DB58BF">
        <w:rPr>
          <w:lang w:val="en-US"/>
        </w:rPr>
        <w:instrText xml:space="preserve"> \* MERGEFORMAT </w:instrText>
      </w:r>
      <w:r w:rsidR="00024C82" w:rsidRPr="00DB58BF">
        <w:rPr>
          <w:lang w:val="en-US"/>
        </w:rPr>
      </w:r>
      <w:r w:rsidR="00024C82" w:rsidRPr="00DB58BF">
        <w:rPr>
          <w:lang w:val="en-US"/>
        </w:rPr>
        <w:fldChar w:fldCharType="separate"/>
      </w:r>
      <w:proofErr w:type="spellStart"/>
      <w:r w:rsidR="007F7DB3" w:rsidRPr="00DB58BF">
        <w:t>Figure</w:t>
      </w:r>
      <w:proofErr w:type="spellEnd"/>
      <w:r w:rsidR="007F7DB3" w:rsidRPr="00DB58BF">
        <w:t xml:space="preserve"> </w:t>
      </w:r>
      <w:r w:rsidR="007F7DB3" w:rsidRPr="00DB58BF">
        <w:rPr>
          <w:noProof/>
        </w:rPr>
        <w:t>2</w:t>
      </w:r>
      <w:r w:rsidR="00024C82" w:rsidRPr="00DB58BF">
        <w:rPr>
          <w:lang w:val="en-US"/>
        </w:rPr>
        <w:fldChar w:fldCharType="end"/>
      </w:r>
      <w:r w:rsidRPr="00DB58BF">
        <w:rPr>
          <w:lang w:val="en-US"/>
        </w:rPr>
        <w:t xml:space="preserve">). </w:t>
      </w:r>
    </w:p>
    <w:p w14:paraId="3D3639E6" w14:textId="77777777" w:rsidR="00DF4CE7" w:rsidRPr="00DB58BF" w:rsidRDefault="00F9362D" w:rsidP="00DF4CE7">
      <w:pPr>
        <w:keepNext/>
      </w:pPr>
      <w:r w:rsidRPr="00DB58BF">
        <w:rPr>
          <w:noProof/>
          <w:color w:val="4EA72E" w:themeColor="accent6"/>
          <w:lang w:val="en-US"/>
        </w:rPr>
        <w:drawing>
          <wp:inline distT="0" distB="0" distL="0" distR="0" wp14:anchorId="2044B4B3" wp14:editId="32A517FC">
            <wp:extent cx="5189670" cy="5890770"/>
            <wp:effectExtent l="0" t="0" r="0" b="0"/>
            <wp:docPr id="84730550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05502" name="Kép 847305502"/>
                    <pic:cNvPicPr/>
                  </pic:nvPicPr>
                  <pic:blipFill>
                    <a:blip r:embed="rId12">
                      <a:extLst>
                        <a:ext uri="{28A0092B-C50C-407E-A947-70E740481C1C}">
                          <a14:useLocalDpi xmlns:a14="http://schemas.microsoft.com/office/drawing/2010/main" val="0"/>
                        </a:ext>
                      </a:extLst>
                    </a:blip>
                    <a:stretch>
                      <a:fillRect/>
                    </a:stretch>
                  </pic:blipFill>
                  <pic:spPr>
                    <a:xfrm>
                      <a:off x="0" y="0"/>
                      <a:ext cx="5189670" cy="5890770"/>
                    </a:xfrm>
                    <a:prstGeom prst="rect">
                      <a:avLst/>
                    </a:prstGeom>
                  </pic:spPr>
                </pic:pic>
              </a:graphicData>
            </a:graphic>
          </wp:inline>
        </w:drawing>
      </w:r>
    </w:p>
    <w:p w14:paraId="21E09ADB" w14:textId="3035F94B" w:rsidR="00F9362D" w:rsidRPr="00DB58BF" w:rsidRDefault="00DF4CE7" w:rsidP="00DF4CE7">
      <w:pPr>
        <w:pStyle w:val="Caption"/>
        <w:rPr>
          <w:color w:val="auto"/>
          <w:szCs w:val="24"/>
          <w:lang w:val="en-US"/>
        </w:rPr>
      </w:pPr>
      <w:bookmarkStart w:id="26" w:name="_Ref204002502"/>
      <w:bookmarkStart w:id="27" w:name="_Ref204002496"/>
      <w:bookmarkStart w:id="28" w:name="_Toc204637055"/>
      <w:proofErr w:type="spellStart"/>
      <w:r w:rsidRPr="00DB58BF">
        <w:rPr>
          <w:szCs w:val="24"/>
        </w:rPr>
        <w:t>Figure</w:t>
      </w:r>
      <w:proofErr w:type="spellEnd"/>
      <w:r w:rsidRPr="00DB58BF">
        <w:rPr>
          <w:szCs w:val="24"/>
        </w:rPr>
        <w:t xml:space="preserve"> </w:t>
      </w:r>
      <w:r w:rsidR="007F7DB3" w:rsidRPr="00DB58BF">
        <w:rPr>
          <w:szCs w:val="24"/>
        </w:rPr>
        <w:fldChar w:fldCharType="begin"/>
      </w:r>
      <w:r w:rsidR="007F7DB3" w:rsidRPr="00DB58BF">
        <w:rPr>
          <w:szCs w:val="24"/>
        </w:rPr>
        <w:instrText xml:space="preserve"> SEQ Figure \* ARABIC </w:instrText>
      </w:r>
      <w:r w:rsidR="007F7DB3" w:rsidRPr="00DB58BF">
        <w:rPr>
          <w:szCs w:val="24"/>
        </w:rPr>
        <w:fldChar w:fldCharType="separate"/>
      </w:r>
      <w:r w:rsidR="007F7DB3" w:rsidRPr="00DB58BF">
        <w:rPr>
          <w:noProof/>
          <w:szCs w:val="24"/>
        </w:rPr>
        <w:t>2</w:t>
      </w:r>
      <w:r w:rsidR="007F7DB3" w:rsidRPr="00DB58BF">
        <w:rPr>
          <w:noProof/>
          <w:szCs w:val="24"/>
        </w:rPr>
        <w:fldChar w:fldCharType="end"/>
      </w:r>
      <w:bookmarkEnd w:id="26"/>
      <w:r w:rsidRPr="00DB58BF">
        <w:rPr>
          <w:szCs w:val="24"/>
        </w:rPr>
        <w:t xml:space="preserve"> - PRISMA 2020 flow </w:t>
      </w:r>
      <w:proofErr w:type="spellStart"/>
      <w:r w:rsidRPr="00DB58BF">
        <w:rPr>
          <w:szCs w:val="24"/>
        </w:rPr>
        <w:t>chart</w:t>
      </w:r>
      <w:proofErr w:type="spellEnd"/>
      <w:r w:rsidRPr="00DB58BF">
        <w:rPr>
          <w:szCs w:val="24"/>
        </w:rPr>
        <w:t xml:space="preserve">. </w:t>
      </w:r>
      <w:proofErr w:type="spellStart"/>
      <w:r w:rsidRPr="00DB58BF">
        <w:rPr>
          <w:szCs w:val="24"/>
        </w:rPr>
        <w:t>Steps</w:t>
      </w:r>
      <w:proofErr w:type="spellEnd"/>
      <w:r w:rsidRPr="00DB58BF">
        <w:rPr>
          <w:szCs w:val="24"/>
        </w:rPr>
        <w:t xml:space="preserve"> of </w:t>
      </w:r>
      <w:proofErr w:type="spellStart"/>
      <w:r w:rsidRPr="00DB58BF">
        <w:rPr>
          <w:szCs w:val="24"/>
        </w:rPr>
        <w:t>the</w:t>
      </w:r>
      <w:proofErr w:type="spellEnd"/>
      <w:r w:rsidRPr="00DB58BF">
        <w:rPr>
          <w:szCs w:val="24"/>
        </w:rPr>
        <w:t xml:space="preserve"> </w:t>
      </w:r>
      <w:proofErr w:type="spellStart"/>
      <w:r w:rsidRPr="00DB58BF">
        <w:rPr>
          <w:szCs w:val="24"/>
        </w:rPr>
        <w:t>search</w:t>
      </w:r>
      <w:proofErr w:type="spellEnd"/>
      <w:r w:rsidRPr="00DB58BF">
        <w:rPr>
          <w:szCs w:val="24"/>
        </w:rPr>
        <w:t xml:space="preserve"> and </w:t>
      </w:r>
      <w:proofErr w:type="spellStart"/>
      <w:r w:rsidRPr="00DB58BF">
        <w:rPr>
          <w:szCs w:val="24"/>
        </w:rPr>
        <w:t>selection</w:t>
      </w:r>
      <w:proofErr w:type="spellEnd"/>
      <w:r w:rsidRPr="00DB58BF">
        <w:rPr>
          <w:szCs w:val="24"/>
        </w:rPr>
        <w:t xml:space="preserve"> </w:t>
      </w:r>
      <w:proofErr w:type="spellStart"/>
      <w:r w:rsidRPr="00DB58BF">
        <w:rPr>
          <w:szCs w:val="24"/>
        </w:rPr>
        <w:t>process</w:t>
      </w:r>
      <w:proofErr w:type="spellEnd"/>
      <w:r w:rsidRPr="00DB58BF">
        <w:rPr>
          <w:szCs w:val="24"/>
        </w:rPr>
        <w:t xml:space="preserve"> of </w:t>
      </w:r>
      <w:proofErr w:type="spellStart"/>
      <w:r w:rsidRPr="00DB58BF">
        <w:rPr>
          <w:szCs w:val="24"/>
        </w:rPr>
        <w:t>the</w:t>
      </w:r>
      <w:proofErr w:type="spellEnd"/>
      <w:r w:rsidRPr="00DB58BF">
        <w:rPr>
          <w:szCs w:val="24"/>
        </w:rPr>
        <w:t xml:space="preserve"> </w:t>
      </w:r>
      <w:proofErr w:type="spellStart"/>
      <w:r w:rsidRPr="00DB58BF">
        <w:rPr>
          <w:szCs w:val="24"/>
        </w:rPr>
        <w:t>included</w:t>
      </w:r>
      <w:proofErr w:type="spellEnd"/>
      <w:r w:rsidRPr="00DB58BF">
        <w:rPr>
          <w:szCs w:val="24"/>
        </w:rPr>
        <w:t xml:space="preserve"> </w:t>
      </w:r>
      <w:proofErr w:type="spellStart"/>
      <w:r w:rsidRPr="00DB58BF">
        <w:rPr>
          <w:szCs w:val="24"/>
        </w:rPr>
        <w:t>articles</w:t>
      </w:r>
      <w:proofErr w:type="spellEnd"/>
      <w:r w:rsidRPr="00DB58BF">
        <w:rPr>
          <w:szCs w:val="24"/>
        </w:rPr>
        <w:t xml:space="preserve"> of </w:t>
      </w:r>
      <w:proofErr w:type="spellStart"/>
      <w:r w:rsidRPr="00DB58BF">
        <w:rPr>
          <w:szCs w:val="24"/>
        </w:rPr>
        <w:t>Study</w:t>
      </w:r>
      <w:proofErr w:type="spellEnd"/>
      <w:r w:rsidRPr="00DB58BF">
        <w:rPr>
          <w:szCs w:val="24"/>
        </w:rPr>
        <w:t xml:space="preserve"> I.</w:t>
      </w:r>
      <w:bookmarkEnd w:id="27"/>
      <w:bookmarkEnd w:id="28"/>
    </w:p>
    <w:p w14:paraId="5F0AA745" w14:textId="14880DD6" w:rsidR="00283EAD" w:rsidRPr="00DB58BF" w:rsidRDefault="00283EAD" w:rsidP="0036711F">
      <w:pPr>
        <w:pStyle w:val="Heading3"/>
        <w:rPr>
          <w:szCs w:val="24"/>
          <w:lang w:val="en-US"/>
        </w:rPr>
      </w:pPr>
      <w:bookmarkStart w:id="29" w:name="_Toc211542205"/>
      <w:r w:rsidRPr="00DB58BF">
        <w:rPr>
          <w:szCs w:val="24"/>
          <w:lang w:val="en-US"/>
        </w:rPr>
        <w:lastRenderedPageBreak/>
        <w:t>8.1.2. Baseline characteristics</w:t>
      </w:r>
      <w:bookmarkEnd w:id="29"/>
      <w:r w:rsidRPr="00DB58BF">
        <w:rPr>
          <w:szCs w:val="24"/>
          <w:lang w:val="en-US"/>
        </w:rPr>
        <w:t xml:space="preserve"> </w:t>
      </w:r>
    </w:p>
    <w:p w14:paraId="5DD8C079" w14:textId="788FDAE9" w:rsidR="00DA3C27" w:rsidRPr="00DB58BF" w:rsidRDefault="008D2757" w:rsidP="00E96E88">
      <w:r w:rsidRPr="00DB58BF">
        <w:rPr>
          <w:lang w:val="en-US"/>
        </w:rPr>
        <w:t>We analyzed data from 30 studies encompassing a total of 2,602 patients</w:t>
      </w:r>
      <w:r w:rsidR="001A4462" w:rsidRPr="00DB58BF">
        <w:rPr>
          <w:lang w:val="en-US"/>
        </w:rPr>
        <w:t xml:space="preserve"> </w:t>
      </w:r>
      <w:r w:rsidR="00CE7F2E" w:rsidRPr="00DB58BF">
        <w:rPr>
          <w:lang w:val="en-US"/>
        </w:rPr>
        <w:fldChar w:fldCharType="begin"/>
      </w:r>
      <w:r w:rsidR="00CD53D9" w:rsidRPr="00DB58BF">
        <w:rPr>
          <w:lang w:val="en-US"/>
        </w:rPr>
        <w:instrText xml:space="preserve"> ADDIN ZOTERO_ITEM CSL_CITATION {"citationID":"iG7bB0VS","properties":{"formattedCitation":"[1,3,6,13\\uc0\\u8211{}15,17,45\\uc0\\u8211{}67]","plainCitation":"[1,3,6,13–15,17,45–67]","noteIndex":0},"citationItems":[{"id":147,"uris":["http://zotero.org/users/local/L5HAWlIW/items/A8UQPRVS"],"itemData":{"id":147,"type":"article-journal","abstract":"Editor’s PerspectiveWhat We Already Know about This TopicIn patients with adult respiratory distress syndrome, physiologic tidal volume and positive end-expiratory pressure (PEEP) are protectiveIn patients without lung diseases undergoing mechanical ventilation under general anesthesia, optimal PEEP","container-title":"Anesthesiology","DOI":"10.1097/aln.0000000000002435","issue":"6","note":"publisher: Lippincott Williams and Wilkins","page":"1070-1081","title":"Individual Positive End-expiratory Pressure Settings Optimize Intraoperative Mechanical Ventilation and Reduce Postoperative Atelectasis","volume":"129","author":[{"family":"Pereira","given":"Sérgio; Tucci","suffix":"Mauro R.; Morais, Caio C. A.; Simões, Claudia Marquez; Tonelotto, Bruno Francisco Freitas; Pompeo, Michel S.; Kay, Fernando Uliana; Pelosi, Paolo; Vieira, Joaquim Edson; Amato, Marcelo B. P."}],"issued":{"date-parts":[["2018"]]}}},{"id":187,"uris":["http://zotero.org/users/local/L5HAWlIW/items/8MR6RMK8"],"itemData":{"id":187,"type":"article-journal","abstract":"This study aimed to observe the effects of lung-protective ventilation (LPV) on oxygenation index (OI) and postoperative pulmonary complications (PPCs) after laparoscopic radical gastrectomy in middle-aged and elderly patients. A total of 120 patients who were scheduled to undergo laparoscopic radical gastrectomy with an expected time of &gt;3 h were randomly divided into conventional ventilation (CV group) with tidal volume (TV) of 10 mL/kg without positive end-expiratory pressure (PEEP), and lung-protective ventilation (PV group) with 7 mL/kg TV and personal level of PEEP with regular recruitment maneuver every 30 min. Measurements of OI, modified clinical pulmonary infection score (mCPIS), and PPCs were assessed during the perioperative period. Fifty-seven patients in the CV group and 58 in the PV group participated in the data analysis. Patients in the PV group showed better pulmonary dynamic compliance, OI, and peripheral capillary oxygen saturation during and after surgery. The mCPIS was significantly lower in the PV group than in the CV group after surgery. The incidence rate of PPCs was lower in the PV group than in the CV group and the difference was significant in patients whose ventilation time was longer than 6 h in both groups. LPV during laparoscopic radical gastrectomy significantly improved pulmonary oxygenation function and reduced postoperative mCPIS and the incidence of PPCs during the early period after surgery of middle-aged and elderly patients, especially patients whose mechanical ventilation time was longer than 6 h.","container-title":"Brazilian journal of medical and biological research = Revista brasileira de pesquisas medicas e biologicas","DOI":"10.1590/1414-431x20198523","issue":"6","note":"publisher: Associacao Brasileira de Divulgacao Cientifica","page":"e8523-NA","title":"Effect of intraoperative lung-protective mechanical ventilation on pulmonary oxygenation function and postoperative pulmonary complications after laparoscopic radical gastrectomy.","volume":"52","author":[{"family":"Liu","given":"Jing; Meng","suffix":"Zhipeng; Lv, Ran; Zhang, Yaping; Wang, Gaojian; Xie, Junran"}],"issued":{"date-parts":[["2019"]]}}},{"id":167,"uris":["http://zotero.org/users/local/L5HAWlIW/items/53VQRNW3"],"itemData":{"id":167,"type":"article-journal","abstract":"Applying lung protective mechanical ventilation (LPV) during general anaesthesia even in patients with non-injured lungs is recommended. However, the effects of an individual PEEP-optimisation on respiratory mechanics, oxygenation and their potential correlation with the inflammatory response and postoperative complications have not been evaluated have not been compared to standard LPV in patients undergoing major abdominal surgery. Thirty-nine patients undergoing open radical cystectomy were enrolled in this study. In the study group (SG) optimal PEEP was determined by a decremental titration procedure and defined as the PEEP value resulting the highest static pulmonary compliance. In the control group (CG) PEEP was set to 6 cmH2O. Primary endpoints were intraoperative respiratory mechanics and gas exchange parameters. Secondary outcomes were perioperative procalcitonin kinetics and postoperative pulmonary complications. Optimal PEEP levels (median = 10, range: 8–14 cmH2O), PaO2/FiO2 (451.24 ± 121.78 mmHg vs. 404.15 ± 115.87 mmHg, P = 0.005) and static pulmonary compliance (52.54 ± 13.59 ml cmH2O-1 vs. 45.22 ± 9.13 ml cmH2O-1, P &lt; 0.0001) were significantly higher, while driving pressure (8.26 ± 1.74 cmH2O vs. 9.73 ± 4.02 cmH2O, P &lt; 0.0001) was significantly lower in the SG as compared to the CG. No significant intergroup differences were found in procalcitonin kinetics (P = 0.076). Composite outcome results indicated a non-significant reduction of postoperative complications in the SG. Intraoperative PEEP-optimization resulted in significant improvement in gas exchange and pulmonary mechanics as compared to standard LPV. Whether these have any effect on short and long term outcomes require further investigations. Trial registration: Clinicaltrials.gov, identifier: NCT02931409.","container-title":"Journal of clinical monitoring and computing","DOI":"10.1007/s10877-020-00519-6","issue":"3","note":"publisher: Springer Netherlands","page":"469-482","title":"Effects of intraoperative positive end-expiratory pressure optimization on respiratory mechanics and the inflammatory response: a randomized controlled trial","volume":"35","author":[{"family":"Ruszkai","given":"Zoltán; Kiss","suffix":"Erika; László, Ildikó; Bokrétás, Gergely Péter; Vizserálek, Dóra; Vámossy, Ildikó; Surány, Erika; Buzogány, István; Bajory, Zoltán; Molnár, Zsolt"}],"issued":{"date-parts":[["2020"]]}}},{"id":178,"uris":["http://zotero.org/users/local/L5HAWlIW/items/BNXF362C"],"itemData":{"id":178,"type":"article-journal","abstract":"NA","container-title":"The Lancet. Respiratory medicine","DOI":"10.1016/s2213-2600(18)30024-9","issue":"3","note":"publisher: Elsevier Limited","page":"193-203","title":"Individualised perioperative open-lung approach versus standard protective ventilation in abdominal surgery (iPROVE): a randomised controlled trial.","volume":"6","author":[{"family":"Ferrando","given":"Carlos; Soro","suffix":"Marina; Unzueta, Carmen; Suarez-Sipmann, Fernando; Canet, Jaume; Librero, Julián; Pozo, Natividad; Peiró, Salvador; Llombart, Alicia; León, Irene; India, Inmaculada; Aldecoa, Cesar; Diaz-Cambronero, Oscar; Pestaña, David; Redondo, Francisco J; Garutti, Ignacio; Balust, Jaume; García, Jose Ignacio; Ibáñez, Maite; Granell, M.; Rodríguez, Aurelio; Gallego, Lucía; de la Matta, Manuel; González, Rafael; Brunelli, Andrea; García, Javier Contreras; Rovira, Lucas; Barrios, Francisco; Torres, Vicente; Hernández, Samuel; Gracia, Estefania; Giné, Marta; Garcia, Maria; Garcia, Nuria; Miguel, Lisset; Sánchez, Sergio; Piñeiro, Patricia; Pujol, Roger; García-del-Valle, Santiago; Valdivia, José; Hernández, María; Padrón, Oto; Colás, Ana; Puig, Jaume; Azparren, Gonzalo; Tusman, Gerardo; Villar, Jesús; Belda, Javier; Acosta, Jesús; Aguilar, Gerardo; Alberola, María José; Alcón, Amalia; Alonso, Jose M.; Alonso, María Dolores; Anaya, Rafael; Argente, María Pilar; Agilaga, Marta; Arocas, Blanca; Asensio, Ana; Ayas, Begoña; Ayuso, Mercedes; Balandrón, Victor; Del Barrio, Maria; Bejarano, Natalia; Benítez, Inmaculada; Cabrera, Sergio; Carbonell, José A.; Carramiñana, Albert; Carrizo, Juan; Cegarra, Virginia; Chamorro, Estefanía; Charco, Pedro; Cruz, Patricia; Daviu, Francisco; De Fez, Mario; de Miguel, Angeles; Del Río, Elena; Delgado, Carlos; Díaz, Ruben; Díaz, Susana; Díez, Fernando; Dosdá, Rosa; Duca, Alejandro; Etulain, Ma Justina; Fernández, Carmen; Franco, Tania; Fuentes, Isabel; Gallego, Clara; Gallego-Casilda, Alberto; Galve, Ana Isabel; Garcés, Cristina; García, Mercedes; Garcia, Pablo; Garrigues, Beatriz; Gilabert, Vicente; González, Domingo; Gutierrez, Andrea; Hernández, Inmaculada; Izquierdo, Ana; Jurado, Ana; Katime, Antonio; Llamazares, Eduardo; Lardies, Rosa; Lisbona, Cristina; López-Herrera, Daniel; López, Ramiro; Lozano, Angels; Lozano, Elena; Marcos, José M.; Martín, Silvia; Martínez, Nilda; Martínez, Rocío; Martínez-Pallí, Graciella; Mazzinari, Guido; Miñana, Amanda; Moral, Victoria; Moreno, Tania; Mugarra, Ana; Muñoz, Lorena; Navarro, José I.; Olmedilla, Luis; Olmedo, Jonathan; Ojeda, Nazario; Parera, Ana; Parra, María Asunción; Parrilla, Cristina; Pastor, Ernesto; Peña, Natalia; Pérez, Ana María; Pérez, Jose María; Piqueras, Laura; Rico-Feijoo, Jesús; Rodríguez, Rayco; Román, Javier Ignacio; Romero, Antonio; Romero, Carolina; Romero, Esther; Ruiz, Isabel; Sánchez, Ester; Sandín, Francisco; Serralta, Ferran; Socorro, Tania; Soriano, Laura; Tisner, Manuel; Valencia, Lucía; Valls, Paola; Vaquero, Laura; Varón, Viviana; Vila, María; Villazala, Rubén; Villena, Abigail; Zapatero, Sara"}],"issued":{"date-parts":[["2018"]]}}},{"id":163,"uris":["http://zotero.org/users/local/L5HAWlIW/items/V9KG3S7Z"],"itemData":{"id":163,"type":"article-journal","abstract":"Abstract Background General anaesthesia leads to atelectasis, reduced end-expiratory lung volume (EELV), and diminished arterial oxygenation in obese patients. We hypothesized that a combination of a recruitment manoeuvre (RM) and individualized positive end-expiratory pressure (PEEP) can avoid these effects. Methods Patients with a BMI ≥35 kg m−2 undergoing elective laparoscopic surgery were randomly allocated to mechanical ventilation with a tidal volume of 8 ml kg−1 predicted body weight and (i) an RM followed by individualized PEEP titrated using electrical impedance tomography (PEEPIND) or (ii) no RM and PEEP of 5 cm H2O (PEEP5). Gas exchange, regional ventilation distribution, and EELV (multiple breath nitrogen washout method) were determined before, during, and after anaesthesia. The primary end point was the ratio of arterial partial pressure of oxygen to inspiratory oxygen fraction (PaO2/FiO2). Results For PEEPIND (n=25) and PEEP5 (n=25) arms together, PaO2/FiO2 and EELV decreased by 15 kPa [95% confidence interval (CI) 11–20 kPa, P Conclusions In obese patients, an RM and higher PEEPIND restored EELV, regional ventilation distribution, and oxygenation during anaesthesia, but these differences did not persist after extubation. Therefore, lung protection strategies should include the postoperative period. Clinical trial registration German clinical trials register DRKS00004199, www.who.int/ictrp/network/drks2/en/.","container-title":"British journal of anaesthesia","DOI":"10.1093/bja/aex192","issue":"6","note":"publisher: Oxford University Press","page":"1194-1205","title":"Individualized positive end-expiratory pressure in obese patients during general anaesthesia: a randomized controlled clinical trial using electrical impedance tomography","volume":"119","author":[{"family":"Nestler","given":"C.; Simon","suffix":"P.; Petroff, David; Hammermüller, Sören; Kamrath, D.; Wolf, Samuel J.; Dietrich, Arne; Camilo, Luciana Moisés; Beda, Alessandro; Carvalho, Alysson R.; Giannella-Neto, Antonio; Reske, Andreas W.; Wrigge, Hermann"}],"issued":{"date-parts":[["2017"]]}}},{"id":143,"uris":["http://zotero.org/users/local/L5HAWlIW/items/DLC97TPW"],"itemData":{"id":143,"type":"article-journal","abstract":"For patients undergoing robot-assisted radical prostatectomy, the pneumoperitoneum with a steep Trendelenburg position could worsen intraoperative respiratory mechanics and result in postoperative atelectasis. We investigated the effects of individualized positive end-expiratory pressure (PEEP) on postoperative atelectasis, evaluated using lung ultrasonography. Sixty patients undergoing robot-assisted radical prostatectomy were randomly allocated into two groups. Individualized groups (n = 30) received individualized PEEP determined by a decremental PEEP trial using 20 to 7 cm H2O, aiming at maximizing respiratory compliance, whereas standardized groups (n = 30) received a standardized PEEP of 7 cm H2O during the pneumoperitoneum. Ultrasound examination was performed on 12 sections of thorax, and the lung ultrasound score was measured as 0-3 by considering the number of B lines and the degree of subpleural consolidation. The primary outcome was the difference between the lung ultrasound scores measured before anesthesia induction and just after extubation in the operating room. An increase in the difference means the development of atelectasis. The optimal PEEP in the individualized group was determined as the median (interquartile range) 14 (12-18) cm H2O. Compared with the standardized group, the difference in the lung ultrasound scores was significantly smaller in the individualized group (-0.5 ± 2.7 vs. 6.0 ± 2.9, mean difference -6.53, 95% confidence interval (-8.00 to -5.07), p &lt; 0.001), which means that individualized PEEP was effective to reduce atelectasis. The lung ultrasound score measured after surgery was significantly lower in the individualized group than the standardized group (8.1 ± 5.7 vs. 12.2 ± 4.2, mean difference -4.13, 95% confidence interval (-6.74 to -1.53), p = 0.002). However, the arterial partial pressure of the oxygen/fraction of inspired oxygen levels during the surgery showed no significant time-group interaction between the two groups in repeated-measures analysis of variance (p = 0.145). The incidence of a composite of postoperative respiratory complications was comparable between the two groups. Individualized PEEP determined by maximal respiratory compliance during the pneumoperitoneum and steep Trendelenburg position significantly reduced postoperative atelectasis, as evaluated using lung ultrasonography. However, the clinical significance of this finding should be evaluated by a larger clinical trial.","container-title":"Journal of clinical medicine","DOI":"10.3390/jcm10040850","issue":"4","note":"publisher: Multidisciplinary Digital Publishing Institute (MDPI)","page":"850-NA","title":"The Effect of Ventilation with Individualized Positive End-Expiratory Pressure on Postoperative Atelectasis in Patients Undergoing Robot-Assisted Radical Prostatectomy: A Randomized Controlled Trial.","volume":"10","author":[{"family":"Yoon","given":"Hyun Kyu; Kim","suffix":"Bo Rim; Yoon, Susie; Jeong, Young Hyun; Ku, Ja Hyeon; Kim, Won Ho"}],"issued":{"date-parts":[["2021"]]}}},{"id":182,"uris":["http://zotero.org/users/local/L5HAWlIW/items/463AFJSV"],"itemData":{"id":182,"type":"article-journal","abstract":"&lt;AbstractText Label=\"BACKGROUND\"&gt;Driving pressure (ΔP = Plateau pressure-PEEP) is highly correlated with postoperative pulmonary complications (PPCs) and appears to be a promising indicator for optimizing ventilator settings. We hypothesized that dynamic, individualized positive end-expiratory pressure (PEEP) guided by ΔP could reduce postoperative atelectasis and improve intraoperative oxygenation, respiratory mechanics, and reduce the incidence of PPCs on elderly patients undergoing laparoscopic surgery.&lt;/AbstractText&gt; &lt;AbstractText Label=\"METHODS\"&gt;Fifty-one elderly patients who were subject to laparoscopic surgery participated in this randomized trial. In the PEEP titration group (DV group), the PEEP titration was decremented to the lowest ΔP and repeated every 1 h. Additional procedures were also performed when performing predefined events that may be associated with lung collapse. In the constant PEEP group (PV group), a PEEP of 6 cmH&lt;sub&gt;2&lt;/sub&gt;O was used throughout the surgery. Moreover, zero PEEP was applied during the entire procedure in the conventional ventilation group (CV group). The primary objective of this study was lung ultrasound score noted at the end of surgery and 15 min after admission to the post-anesthesia care unit (PACU) at 12 lung areas bilaterally. The secondary endpoints were perioperative oxygenation function, expiratory mechanics, and the incidence of the PPCs.&lt;/AbstractText&gt; &lt;AbstractText Label=\"RESULTS\"&gt;The lung ultrasound scores of the DV group were significantly lower than those in the PV group and CV group (P &amp;lt; 0.05), whereas there was no significant difference between the PV group and CV group (P &amp;gt; 0.05). The lung static compliance (Cstat) and ΔP at all the intraoperative time points in the DV group were significantly better compared to the PV group and the CV group (p &amp;lt; 0.05).&lt;/AbstractText&gt; &lt;AbstractText Label=\"CONCLUSIONS\"&gt;Intraoperative titrated PEEP reduced postoperative lung atelectasis and improved respiratory mechanics in elderly patients undergoing laparoscopic surgery. Meanwhile, standard PEEP strategy is not superior to conventional ventilation in reducing postoperative pulmonary atelectasis in laparoscopic surgery.&lt;/AbstractText&gt; &lt;CopyrightInformation&gt;© 2022. The Author(s).&lt;/CopyrightInformation&gt;","container-title":"BMC anesthesiology","DOI":"10.1186/s12871-022-01613-9","issue":"1","note":"publisher: BioMed Central","page":"72-NA","title":"Effects of dynamic individualized PEEP guided by driving pressure in laparoscopic surgery on postoperative atelectasis in elderly patients: a prospective randomized controlled trial.","volume":"22","author":[{"family":"Xu","given":"Qi; Guo","suffix":"Xiao; Liu, Jiang; Li, Si-Xun; Ma, Hai-Rui; Wang, Fei-Xiang; Lin, Jing-Yan"}],"issued":{"date-parts":[["2022"]]}}},{"id":149,"uris":["http://zotero.org/users/local/L5HAWlIW/items/HSM2JN5A"],"itemData":{"id":149,"type":"article-journal","abstract":"Abstract Background Higher intraoperative driving pressures (ΔP) are associated with increased postoperative pulmonary complications (PPC). We hypothesised that dynamic adjustment of PEEP throughout abdominal surgery reduces ΔP, maintains positive end-expiratory transpulmonary pressures (Ptp_ee) and increases respiratory system static compliance (Crs) with PEEP levels that are variable between and within patients. Methods In a prospective multicentre pilot study, adults at moderate/high risk for PPC undergoing elective abdominal surgery were randomised to one of three ventilation protocols: (1) PEEP≤2 cm H2O, compared with periodic recruitment manoeuvres followed by individualised PEEP to either optimise respiratory system compliance (PEEPmaxCrs) or maintain positive end-expiratory transpulmonary pressure (PEEPPtp_ee). The composite primary outcome included intraoperative ΔP, Ptp_ee, Crs, and PEEP values (median (interquartile range) and coefficients of variation [CVPEEP]). Results Thirty-seven patients (48.6% female; age range: 47–73 yr) were assigned to control (PEEP≤2 cm H2O; n=13), PEEPmaxCrs (n=16), or PEEPPtp_ee (n=8) groups. The PEEPPtp_ee intervention could not be delivered in two patients. Subjects assigned to PEEPmaxCrs had lower ΔP (median8 cm H2O [7–10]), compared with the control group (12 cm H2O [10–15]; P=0.006). PEEPmaxCrs was also associated with higher Ptp_ee (2.0 cm H2O [-0.7 to 4.5] vs controls: -8.3 cm H2O [-13.0 to -4.0]; P≤0.001) and higher Crs (47.7 ml cm H2O [43.2–68.8] vs controls: 39.0 ml cm H2O [32.9–43.4]; P=0.009). Individualised PEEP (PEEPmaxCrs and PEEPPtp_ee combined) varied widely (median: 10 cm H2O [8-15]; CVPEEP=0.24 [0.14–0.35]), both between, and within, subjects throughout surgery. Conclusions This pilot study suggests that individualised PEEP management strategies applied during abdominal surgery reduce driving pressure, maintain positive Ptp_ee and increase static compliance. The wide range of PEEP observed suggests that an individualised approach is required to optimise respiratory mechanics during abdominal surgery. Clinical trial registration NCT02671721.","container-title":"British journal of anaesthesia","DOI":"10.1016/j.bja.2020.06.030","issue":"3","note":"publisher: Oxford University Press","page":"383-392","title":"Individualized PEEP to optimise respiratory mechanics during abdominal surgery: a pilot randomised controlled trial","volume":"125","author":[{"family":"Fernandez-Bustamante","given":"Ana; Sprung","suffix":"Juraj; Parker, Robert A.; Bartels, Karsten; Weingarten, Toby N.; Kosour, Carolina; Thompson, B. Taylor; Melo, Marcos F. Vidal"}],"issued":{"date-parts":[["2020"]]}}},{"id":5108,"uris":["http://zotero.org/users/local/L5HAWlIW/items/8YNSRVG3"],"itemData":{"id":5108,"type":"article-journal","container-title":"Cureus","DOI":"10.7759/cureus.40278","ISSN":"2168-8184","language":"en","source":"DOI.org (Crossref)","title":"Effect of Lung Compliance-Based Optimum Pressure Versus Fixed Positive End-Expiratory Pressure on Lung Atelectasis Assessed by Modified Lung Ultrasound Score in Laparoscopic Gynecological Surgery: A Prospective Randomized Controlled Trial","title-short":"Effect of Lung Compliance-Based Optimum Pressure Versus Fixed Positive End-Expiratory Pressure on Lung Atelectasis Assessed by Modified Lung Ultrasound Score in Laparoscopic Gynecological Surgery","URL":"https://www.cureus.com/articles/136396-effect-of-lung-compliance-based-optimum-pressure-versus-fixed-positive-end-expiratory-pressure-on-lung-atelectasis-assessed-by-modified-lung-ultrasound-score-in-laparoscopic-gynecological-surgery-a-prospective-randomized-controlled-trial","author":[{"family":"Deeparaj","given":"L"},{"family":"Kumar","given":"Rakesh"},{"family":"Patel","given":"Nishant"},{"family":"Ayub","given":"Arshad"},{"family":"Rewari","given":"Vimi"},{"family":"Subramaniam","given":"Rajeshwari"},{"family":"Roy","given":"Kallol Kumar"}],"accessed":{"date-parts":[["2025",4,28]]},"issued":{"date-parts":[["2023",6,12]]}}},{"id":198,"uris":["http://zotero.org/users/local/L5HAWlIW/items/YALB6N24"],"itemData":{"id":198,"type":"article-journal","abstract":"Bariatric surgery has proven a successful approach in the treatment of morbid obesity and its concomitant diseases such as diabetes mellitus and arterial hypertension. Aiming for optimal management of this challenging patient cohort, tailored concepts directly guided by individual patient physiology may outperform standardized care. Implying esophageal pressure measurement and electrical impedance tomography—increasingly applied monitoring approaches to individually adjust mechanical ventilation in challenging circumstances like acute respiratory distress syndrome (ARDS) and intraabdominal hypertension—we compared our institutions standard ventilator regimen with an individually adjusted positive end expiratory pressure (PEEP) level aiming for a positive transpulmonary pressure (P L) throughout the respiratory cycle. After obtaining written informed consent, 37 patients scheduled for elective bariatric surgery were studied during mechanical ventilation in reverse Trendelenburg position. Before and after installation of capnoperitoneum, PEEP levels were gradually raised from a standard value of 10 cm H2O until a P L of 0 +/− 1 cm H2O was reached. Changes in ventilation were monitored by electrical impedance tomography (EIT) and arterial blood gases (ABGs) were obtained at the end of surgery and 5 and 60 min after extubation, respectively. To achieve the goal of a transpulmonary pressure (P L) of 0 cm H2O at end expiration, PEEP levels of 16.7 cm H2O (95% KI 15.6–18.1) before and 23.8 cm H2O (95% KI 19.6–40.4) during capnoperitoneum were necessary. EIT measurements confirmed an optimal PEEP level between 10 and 15 cm H2O before and 20 and 25 cm H2O during capnoperitoneum, respectively. Intra- and postoperative oxygenation did not change significantly. Patients during laparoscopic bariatric surgery require high levels of PEEP to maintain a positive transpulmonary pressure throughout the respiratory cycle. EIT monitoring allows for non-invasive monitoring of increasing PEEP demand during capnoperitoneum. Individually adjusted PEEP levels did not result in improved postoperative oxygenation.","container-title":"Obesity surgery","DOI":"10.1007/s11695-017-2794-3","issue":"1","note":"publisher: Springer New York","page":"122-129","title":"Intraoperative Ventilation of Morbidly Obese Patients Guided by Transpulmonary Pressure.","volume":"28","author":[{"family":"Eichler","given":"Lars; Truskowska","suffix":"Katarzyna; Duprée, Anna; Busch, Philipp; Goetz, Alwin E.; Zöllner, Christian"}],"issued":{"date-parts":[["2017"]]}}},{"id":177,"uris":["http://zotero.org/users/local/L5HAWlIW/items/TAVD8H27"],"itemData":{"id":177,"type":"article-journal","abstract":"NA","container-title":"Surgery for obesity and related diseases : official journal of the American Society for Bariatric Surgery","DOI":"10.1016/j.soard.2020.09.023","issue":"2","note":"publisher: Elsevier Inc.","page":"372-378","title":"The use of intraoperative bedside lung ultrasound in optimizing positive end expiratory pressure in obese patients undergoing laparoscopic bariatric surgeries.","volume":"17","author":[{"family":"Elshazly","given":"M.O.; Khair","suffix":"Tamer Mohamed; Bassem, Marina; Mansour, M. A."}],"issued":{"date-parts":[["2020"]]}}},{"id":133,"uris":["http://zotero.org/users/local/L5HAWlIW/items/UXWZNMU2"],"itemData":{"id":133,"type":"article-journal","abstract":"Background: Low tidal volume (VT) during anesthesia minimizes lung injury but may be associated to a decrease in functional lung volume impairing lung mechanics and efficiency. Lung recruitment (RM ...","container-title":"PloS one","DOI":"10.1371/journal.pone.0177399","issue":"5","note":"publisher: Public Library of Science","page":"e0177399-NA","title":"Open lung approach versus standard protective strategies : Effects on driving pressure and ventilatory efficiency during anesthesia - A pilot, randomized controlled trial","volume":"12","author":[{"family":"Ferrando","given":"Carlos; Suarez-Sipmann","suffix":"Fernando; Tusman, Gerardo; León, Irene; Romero, Esther; Gracia, Estefania; Mugarra, Ana; Arocas, Blanca; Pozo, Natividad; Soro, Marina; Belda, Francisco Javier"}],"issued":{"date-parts":[["2017"]]}}},{"id":1686,"uris":["http://zotero.org/users/local/L5HAWlIW/items/EFTPW42L"],"itemData":{"id":1686,"type":"article-journal","abstract":"BACKGROUND: Optimal intraoperative positive end‐expiratory pressure (PEEP) improves patient outcomes. Pulse oximetry has been used to determine the lung opening and closing pressures. Therefore, we hypothesized that intraoperative optimal PEEP obtained by titrating inspiratory oxygen fraction (FiO2) guided with pulse oximetry could improve perioperative oxygenation. METHODS: Forty‐six males undergoing elective robotic‐assisted laparoscopic prostatectomy were randomly assigned to either the optimal PEEP group (group O; n=23) or the fixed PEEP of 5 cmH2O group (group C; n=23). Optimal PEEP, defined as the PEEP with the lowest FiO2 or 0.21 to maintain SpO2 greater than or equal to 95%, was obtained in both groups after placing the patients in the Trendelenburg position and conducting intraperitoneal insufflation. Optimal PEEP was maintained for patients in group O. A PEEP of 5 cmH2O intraoperatively was maintained for patients in group C. Both groups were extubated in a semisitting position once the extubation criteria were met. The primary outcome was the arterial oxygen partial pressure (PaO2) divided by the inspiratory oxygen fraction (FiO2) prior to extubation. The secondary outcome was the incidence of postoperative hypoxemia (SpO2 less than 92% on room air after extubation) in the postanesthesia care unit (PACU). RESULTS: The median optimal PEEP was 16 cmH2O (IQR 12‐18). The PaO2/FiO2 prior to extubation was significantly higher in group O than in group C (77.0±4.9 kPa vs. 60.6±5.9 kPa; P=0.04). PaO2/FiO2 was also significantly higher in group O 30 minutes after extubation (57.6±1.9 vs. 46.6±1.8 kPa; P=0.01). The incidence of hypoxemia on room air in the PACU was significantly lower in group O than in group C (4.3% vs. 30.4%; P=0.02). CONCLUSIONS: Intraoperative optimal PEEP can be achieved by a titration of FiO2 guided with SpO2. Maintaining intraoperative optimal PEEP improves intraoperative oxygenation and reduces the incidence of postoperative hypoxemia. TRIAL REGISTRATION: The study was prospectively registered on September 10, 2021, in the Chinese Clinical Trial Registry (identifier: ChiCTR2100051010).","archive_location":"CN-02537259","container-title":"Annals of translational medicine","DOI":"10.21037/atm-22-4357","issue":"5","journalAbbreviation":"Annals of translational medicine","page":"203","title":"Optimal positive end-expiratory pressure obtained with titration of a fraction of inspiratory oxygen: a randomized controlled clinical trial","volume":"11","author":[{"family":"Gao","given":"L"},{"family":"Yang","given":"L"},{"family":"Pan","given":"L"},{"family":"Cui","given":"Y"},{"family":"Zhang","given":"J"}],"issued":{"date-parts":[["2023"]]}}},{"id":148,"uris":["http://zotero.org/users/local/L5HAWlIW/items/B5V6G46C"],"itemData":{"id":148,"type":"article-journal","abstract":"Abstract Background Robot-assisted laparoscopic radical prostatectomy requires general anaesthesia, extreme Trendelenburg positioning and capnoperitoneum. Together these promote impaired pulmonary gas exchange caused by atelectasis and may contribute to postoperative pulmonary complications. In morbidly obese patients, a recruitment manoeuvre (RM) followed by individualised PEEP improves intraoperative oxygenation and end-expiratory lung volume (EELV). We hypothesised that individualised PEEP with initial RM similarly improves intraoperative oxygenation and EELV in non-obese individuals undergoing robot-assisted prostatectomy. Methods Forty males (age, 49–76 yr; BMI Results In 20 males randomised to RM/PEEPIND, the median PEEPIND was 14 cm H2O [inter-quartile range, 8–20]. The Pao2/Fio2 was 10.0 kPa higher with RM/PEEPIND before extubation (95% confidence interval [CI], 2.6–17.3 kPa; P=0.001). RM/PEEPIND increased end-expiratory lung volume by 1.49 L (95% CI, 1.09–1.89 L; P Conclusion In non-obese males, an individualised ventilation strategy improved intraoperative oxygenation, which was associated with higher end-expiratory lung volumes during robot-assisted laparoscopic prostatectomy. Clinical trial registration DRKS00004199 (German clinical trials registry)","container-title":"British journal of anaesthesia","DOI":"10.1016/j.bja.2020.05.041","issue":"3","note":"publisher: Oxford University Press","page":"373-382","title":"Individualised positive end-expiratory pressure guided by electrical impedance tomography for robot-assisted laparoscopic radical prostatectomy: a prospective, randomised controlled clinical trial","volume":"125","author":[{"family":"Girrbach","given":"Felix; Petroff","suffix":"David; Schulz, Susann; Hempel, Gunther; Lange, Mirko; Klotz, Carolin; Scherz, Stephanie; Giannella-Neto, Antonio; Beda, Alessandro; Jardim-Neto, Alcendino; Stolzenburg, Jens-Uwe; Reske, Andreas W.; Wrigge, Hermann; Simon, Philipp"}],"issued":{"date-parts":[["2020"]]}}},{"id":1570,"uris":["http://zotero.org/users/local/L5HAWlIW/items/V3SBX9HI"],"itemData":{"id":1570,"type":"article-journal","container-title":"British Journal of Anaesthesia","DOI":"10.1016/j.bja.2023.08.007","ISSN":"00070912","issue":"5","journalAbbreviation":"British Journal of Anaesthesia","language":"en","page":"955-965","source":"DOI.org (Crossref)","title":"Effect of driving pressure-guided positive end-expiratory pressure on postoperative pulmonary complications in patients undergoing laparoscopic or robotic surgery: a randomised controlled trial","title-short":"Effect of driving pressure-guided positive end-expiratory pressure on postoperative pulmonary complications in patients undergoing laparoscopic or robotic surgery","volume":"131","author":[{"family":"Kim","given":"Yoon Jung"},{"family":"Kim","given":"Bo Rim"},{"family":"Kim","given":"Hee Won"},{"family":"Jung","given":"Ji-Yoon"},{"family":"Cho","given":"Hye-Yeon"},{"family":"Seo","given":"Jeoung-Hwa"},{"family":"Kim","given":"Won Ho"},{"family":"Kim","given":"Hee-Soo"},{"family":"Hwangbo","given":"Suhyun"},{"family":"Yoon","given":"Hyun-Kyu"}],"issued":{"date-parts":[["2023",11]]}}},{"id":1518,"uris":["http://zotero.org/users/local/L5HAWlIW/items/RBGIT4XK"],"itemData":{"id":1518,"type":"article-journal","abstract":"Abstract\n            \n              The study aimed to investigate the efficacy of PCV-VG combined with individual PEEP during laparoscopic surgery in the Trendelenburg position. 120 patients were randomly divided into four groups: VF group (VCV plus 5cmH\n              2\n              O PEEP), PF group (PCV-VG plus 5cmH\n              2\n              O PEEP), VI group (VCV plus individual PEEP), and PI group (PCV-VG plus individual PEEP).\n              P\n              mean\n              ,\n              P\n              peak\n              , Cdyn, PaO\n              2\n              /FiO\n              2\n              ,\n              V\n              D\n              /V\n              T\n              , A-aDO\n              2\n              and Qs/Qt were recorded at T\n              1\n              (15 min after the induction of anesthesia), T\n              2\n              (60 min after pneumoperitoneum), and T\n              3\n              (5 min at the end of anesthesia). The CC16 and IL-6 were measured at T\n              1\n              and T\n              3\n              . Our results showed that the\n              P\n              mean\n              was increased in VI and PI group, and the\n              P\n              peak\n              was lower in PI group at T\n              2\n              . At T\n              2\n              and T\n              3\n              , the Cdyn of PI group was higher than that in other groups, and PaO\n              2\n              /FiO\n              2\n              was increased in PI group compared with VF and VI group. At T\n              2\n              and T\n              3\n              , A-aDO\n              2\n              of PI and PF group was reduced than that in other groups. The Qs/Qt was decreased in PI group compared with VF and VI group at T\n              2\n              and T\n              3\n              . At T\n              2\n              ,\n              V\n              D\n              /V\n              T\n              in PI group was decreased than other groups. At T\n              3\n              , the concentration of CC16 in PI group was lower compared with other groups, and IL-6 level of PI group was decreased than that in VF and VI group. In conclusion, the patients who underwent laparoscopic surgery, PCV-VG combined with individual PEEP produced favorable lung mechanics and oxygenation, and thus reducing inflammatory response and lung injury.\n            \n            \n              Clinical Trial registry\n              : chictr.org. identifier: ChiCTR-2100044928","container-title":"Journal of Clinical Monitoring and Computing","DOI":"10.1007/s10877-021-00750-9","ISSN":"1387-1307, 1573-2614","issue":"4","journalAbbreviation":"J Clin Monit Comput","language":"en","page":"1155-1164","source":"DOI.org (Crossref)","title":"Effect of pressure-controlled ventilation-volume guaranteed mode combined with individualized positive end-expiratory pressure on respiratory mechanics, oxygenation and lung injury in patients undergoing laparoscopic surgery in Trendelenburg position","volume":"36","author":[{"family":"Li","given":"Jianli"},{"family":"Ma","given":"Saixian"},{"family":"Chang","given":"Xiujie"},{"family":"Ju","given":"Songxu"},{"family":"Zhang","given":"Meng"},{"family":"Yu","given":"Dongdong"},{"family":"Rong","given":"Junfang"}],"issued":{"date-parts":[["2022",8]]}}},{"id":1577,"uris":["http://zotero.org/users/local/L5HAWlIW/items/2Q6YJM6C"],"itemData":{"id":1577,"type":"article-journal","abstract":"BACKGROUND: Individualized positive end‐expiratory pressure (PEEP) guided by dynamic compliance improves oxygenation and reduces postoperative atelectasis in nonobese patients. The authors hypothesized that dynamic compliance‐guided PEEP could also reduce postoperative atelectasis in patients undergoing bariatric surgery. METHODS: Patients scheduled to undergo laparoscopic bariatric surgery were eligible. Dynamic compliance‐guided PEEP titration was conducted in all patients using a downward approach. A recruitment maneuver (PEEP from 10 to 25 cm H2O at 5‐cm H2O step every 30 s, with 15‐cm H2O driving pressure) was conducted both before and after the titration. Patients were then randomized (1:1) to undergo surgery under dynamic compliance‐guided PEEP (PEEP with highest dynamic compliance plus 2 cm H2O) or PEEP of 8 cm H2O. The primary outcome was postoperative atelectasis, as assessed with computed tomography at 60 to 90 min after extubation, and expressed as percentage to total lung tissue volume. Secondary outcomes included Pao2/inspiratory oxygen fraction (Fio2) and postoperative pulmonary complications. RESULTS: Forty patients (mean ± SD; 28 ± 7 yr of age; 25 females; average body mass index, 41.0 ± 4.7 kg/m2) were enrolled. Median PEEP with highest dynamic compliance during titration was 15 cm H2O (interquartile range, 13 to 17; range, 8 to 19) in the entire sample of 40 patients. The primary outcome of postoperative atelectasis (available in 19 patients in each group) was 13.1 ± 5.3% and 9.5 ± 4.3% in the PEEP of 8 cm H2O and dynamic compliance‐guided PEEP groups, respectively (intergroup difference, 3.7%; 95% CI, 0.5 to 6.8%; P = 0.025). Pao2/Fio2 at 1 h after pneumoperitoneum was higher in the dynamic compliance‐guided PEEP group (397 vs. 337 mmHg; group difference, 60; 95% CI, 9 to 111; P = 0.017) but did not differ between the two groups 30 min after extubation (359 vs. 375 mmHg; group difference, ‐17; 95% CI, ‐53 to 21; P = 0.183). The incidence of postoperative pulmonary complications was 4 of 20 in both groups. CONCLUSIONS: Postoperative atelectasis was lower in patients undergoing laparoscopic bariatric surgery under dynamic compliance‐guided PEEP versus PEEP of 8 cm H2O. Postoperative Pao2/Fio2 did not differ between the two groups.","archive_location":"CN-02581757","container-title":"Anesthesiology","DOI":"10.1097/ALN.0000000000004603","issue":"3","journalAbbreviation":"Anesthesiology","page":"262‐273","title":"Individualized Positive End-expiratory Pressure on Postoperative Atelectasis in Patients with Obesity: a Randomized Controlled Clinical Trial","volume":"139","author":[{"family":"Li","given":"X"},{"family":"Liu","given":"H"},{"family":"Wang","given":"J"},{"family":"Ni","given":"ZL"},{"family":"Liu","given":"ZX"},{"family":"Jiao","given":"JL"},{"family":"Han","given":"Y"},{"family":"Cao","given":"JL"}],"issued":{"date-parts":[["2023"]]}}},{"id":1612,"uris":["http://zotero.org/users/local/L5HAWlIW/items/5LCJJ8P3"],"itemData":{"id":1612,"type":"article-journal","abstract":"Laparoscopic total hysterectomy is performed by carbon dioxide insufflation, Trendelenburg position and mechanical ventilation of patients under general anesthesia. However, this may induce pulmonary atelectasis and/or hyperdistention of the lungs. Multiple studies have indicated that mechanical ventilation with the use of low tidal volumes, moderate positive end‐expiratory pressure (PEEP) and regular alveolar recruitment maneuvers may improve post‐operative outcomes. However, the benefits of an individualized level of PEEP have not been clearly established. In the present study, it was hypothesized that a moderate fixed PEEP may not suit all patients and an individually‐titrated PEEP during anesthesia may improve the peri‐operative pulmonary oxygenation function. The aim of the present study was to compare the pulmonary oxygenation function and post‐operative pulmonary complications (PPCs) in patients receiving individualized lung‐protective mechanical ventilation (LPV) vs. conventional ventilation (CV) during laparoscopic total hysterectomy. The present study was a randomized double‐blinded clinical trial on 87 patients who were randomly divided to receive CV or protective ventilation (PV). An optimal individualized PEEP value was determined using a static pulmonary compliance‐directed PEEP titration procedure. Pulmonary oxygenation function, serum inflammatory factors, including interleukin‐8 and Clara cell protein 16, the incidence of PPCs and the post‐operative length of stay were also determined. Patients in the PV group exhibited improved pulmonary oxygenation function during and after the operation. The total percentage of PPCs during the first 7 days after surgery was significantly lower in the PV group compared with those in the CV group. In conclusion, as compared to CV, intra‐operative individualized LPV significantly improved pulmonary oxygenation function and reduced the incidence of PPCs during the first 7 days after laparoscopic total hysterectomy (Clinical trial registration no. ChiCTR1900027738).","archive_location":"CN-02099494","container-title":"Experimental and therapeutic medicine","DOI":"10.3892/etm.2020.8549","issue":"4","journalAbbreviation":"Experimental and therapeutic medicine","page":"3051‐3059","title":"Individualized lung protective ventilation vs. Conventional ventilation during general anesthesia in laparoscopic total hysterectomy","volume":"19","author":[{"family":"Liu","given":"J"},{"family":"Huang","given":"X"},{"family":"Hu","given":"S"},{"family":"Meng","given":"Z"},{"family":"He","given":"H"}],"issued":{"date-parts":[["2020"]]}}},{"id":1568,"uris":["http://zotero.org/users/local/L5HAWlIW/items/5DJWX5NC"],"itemData":{"id":1568,"type":"article-journal","abstract":"Abstract\n            \n              Objective\n              To evaluate the effect of the individualized positive end-expiratory pressure (PEEP) lung protection ventilation strategy by combining driving pressure (ΔP) and pulmonary ultrasound (LUS)-based titration on lung function and postoperative cognitive function in patients with chronic obstructive pulmonary disease (COPD) during laparoscopic surgery.\n            \n            \n              Methods\n              \n                A total of 108 patients with COPD undergoing laparoscopic gastrointestinal surgery under general anesthesia were included in this study. They were randomly divided into three groups (n = 36): traditional volume ventilation group (Group C), fixed PEEP 5 cmH\n                2\n                O group (Group P), and ΔP combined with LUS-based PEEP titration in the resuscitation room group (Group T). All three groups were given volume ventilation mode, I:E = 1:2; In group C, VT was 10 mL/kg and PEEP was 0 cmH\n                2\n                O; In groups P and T, VT was 6 mL/kg and PEEP was 5 cmH\n                2\n                O; After mechanical ventilation for 15 min in Group T, ΔP in combination with LUS was used to titrate PEEP. The oxygenation index (PaO2/FiO2), airway platform pressure (Pplat), dynamic lung compliance (Cdyn), Montreal Cognitive Assessment (MoCA), and venous interleukin-6(IL-6) were recorded at the corresponding time points, and the final PEEP value in Group T was recorded.\n              \n            \n            \n              Results\n              \n                The final PEEP value of Group T was (6.4 ± 1.2) cmH\n                2\n                O; Compared with groups C and P: PaO\n                2\n                /FiO\n                2\n                and Cdyn in Group T were significantly increased (\n                P\n                 &lt; 0.05) and value of IL-6 was significantly decreased (\n                P\n                 &lt; 0.05) at the corresponding time points. Compared with group C, the MoCA score on day 7 after surgery in Group T was significantly higher (\n                P\n                 &lt; 0.05).\n              \n            \n            \n              Conclusion\n              Compared with the traditional ventilation strategy, the individualized ΔP combined with LUS-based PEEP titration in patients with COPD during the perioperative period of laparoscopic surgery can play a better role in lung protection and can improve postoperative cognitive function.","container-title":"BMC Pulmonary Medicine","DOI":"10.1186/s12890-023-02471-y","ISSN":"1471-2466","issue":"1","journalAbbreviation":"BMC Pulm Med","language":"en","page":"232","source":"DOI.org (Crossref)","title":"Effect of individualized PEEP titration by ultrasonography on perioperative pulmonary protection and postoperative cognitive function in patients with chronic obstructive pulmonary disease","volume":"23","author":[{"family":"Luo","given":"Lai-feng"},{"family":"Lin","given":"Yu-mei"},{"family":"Liu","given":"Ying"},{"family":"Gao","given":"Xiao-hua"},{"family":"Li","given":"Chui-yu"},{"family":"Zhang","given":"Xiao-qi"},{"family":"Wu","given":"Jian-hua"},{"family":"Chen","given":"Zhi-yuan"}],"issued":{"date-parts":[["2023",6,28]]}}},{"id":22,"uris":["http://zotero.org/users/local/L5HAWlIW/items/J95XU98Y"],"itemData":{"id":22,"type":"article-journal","container-title":"Surgery","DOI":"10.1016/j.surg.2021.01.047","ISSN":"00396060","issue":"1","journalAbbreviation":"Surgery","language":"en","note":"number: 1","page":"277-283","source":"DOI.org (Crossref)","title":"Effect of driving pressure-guided positive end-expiratory pressure (PEEP) titration on postoperative lung atelectasis in adult patients undergoing elective major abdominal surgery: A randomized controlled trial","title-short":"Effect of driving pressure-guided positive end-expiratory pressure (PEEP) titration on postoperative lung atelectasis in adult patients undergoing elective major abdominal surgery","volume":"170","author":[{"family":"Mini","given":"Gouri"},{"family":"Ray","given":"Bikash R."},{"family":"Anand","given":"Rahul K."},{"family":"Muthiah","given":"Thilaka"},{"family":"Baidya","given":"Dalim K."},{"family":"Rewari","given":"Vimi"},{"family":"Sahni","given":"Peush"},{"family":"Maitra","given":"Souvik"}],"issued":{"date-parts":[["2021",7]]}}},{"id":1667,"uris":["http://zotero.org/users/local/L5HAWlIW/items/C4CXU7ZP"],"itemData":{"id":1667,"type":"article-journal","abstract":"Objective To investigate the effect of individualized positive end expiratory pressure (PEEP) setting guided by chest electrical impedance tomography (EIT) on the incidence of hypoxemia in elderly patients undergoing robot‑assisted radical prostatectomy in the post anesthesia care unit (PACU). Methods From September 2020 to October 2021, sixty elderly patients, with the American Association of Anesthesiologists (ASA) of Grade Ⅰ to Ⅲ, who underwent selective robot‑assisted radical prostatectomy under general anesthesia in the Cancer Hospital Affiliated to Fudan University were selected. The participants were divided into two groups by the minimum randomized grouping method: EIT‑PEEP group (EP group, n=30) and fixed PEEP group (FP group, n=30). After completion of tracheal intubation and establishment of pneumoperitoneum flexion posture, the individualized PEEP setting was guided by EIT in EP group, and the PEEP setting in FP group was 5 cmH2O (1 cmH2O=0.098 kPa) to the end of operation. During the operation, the ventilation mode of pressure regulation volume control was adopted. The driving pressure, dynamic lung compliance (Cdyn), oxygenation index and hemodynamics were recorded at 5 min (T1), 30 min (T2), 60 min (T3) after PEEP setting and at the time of tracheal catheter removal (T4) in both groups. The primary end point was the incidence of hypoxemia in PACU after extubation. Results The incidence of hypoxemia after extubation was 3.3% (1/30) in EP group and 26.7% (8/ 30) in FP group (P=0.030). The difference of driving pressure between the two groups at T2 [(13.1± 2.4) cmH2O vs (14.9±2.9) cmH2O, P=0.012], T3 [(12.7±2.4) cmH2O vs (15.6±2.8) cmH2O, P&lt;0.001] was statistically significant. In EP group, Cdyn was improved at T2 [(38.4±7.2) ml/cmH2O vs (31.9±5.2) ml/cmH2O, P=0.006] and T3 [(37.5</w:instrText>
      </w:r>
      <w:r w:rsidR="00CD53D9" w:rsidRPr="00DB58BF">
        <w:rPr>
          <w:rFonts w:cs="Times New Roman"/>
          <w:lang w:val="en-US"/>
        </w:rPr>
        <w:instrText>��</w:instrText>
      </w:r>
      <w:r w:rsidR="00CD53D9" w:rsidRPr="00DB58BF">
        <w:rPr>
          <w:lang w:val="en-US"/>
        </w:rPr>
        <w:instrText xml:space="preserve">9.0) ml/cmH2O vs (30.4±5.9) ml/cmH2O, P=0.001]. In EP group, PaO2/FiO2 increased at T1 [(465.7±84.5) mmHg vs (383.5±58.0) mmHg, 1 mmHg=0.133 kPa, P&lt; 0.001], T2 [(504.7±105.8) mmHg vs (418.9±73.7) mmHg, P=0.001], T3 [(520.7±92.2) mmHg vs (423.2±90.7) mmHg, P&lt;0.001], T4 [(368.7±42.0) mmHg vs (339.5±54.9) mmHg, P=0.024]. Conclusion The individualized PEEP setting guided by EIT can reduce the incidence of hypoxemia in elderly patients undergoing robot assisted radical prostatectomy in PACU.","archive_location":"CN-02613242","container-title":"Zhonghua yi xue za zhi","DOI":"10.3760/cma.j.cn112137-20220415-00818","issue":"47","journalAbbreviation":"Zhonghua yi xue za zhi","page":"3727‐3733","title":"Effect of EIT-guided individualized PEEP setting on the incidence of hypoxemia in elderly patients undergoing robot-assisted radical prostatectomy","volume":"102","author":[{"family":"Pan","given":"LL"},{"family":"Gao","given":"LL"},{"family":"Yang","given":"L"},{"family":"Pan","given":"CX"},{"family":"Yin","given":"YH"},{"family":"Zhu","given":"Y"},{"family":"Zhang","given":"J"}],"issued":{"date-parts":[["2022"]]}}},{"id":168,"uris":["http://zotero.org/users/local/L5HAWlIW/items/67NQ5YJS"],"itemData":{"id":168,"type":"article-journal","abstract":"BACKGROUND The creation of pneumoperitoneum during laparoscopic surgery can lead to adverse effects on the respiratory system. Positive end-expiratory pressure (PEEP) plays an important role in mechanical ventilation during laparoscopic surgery. OBJECTIVE To evaluate whether PEEP setting guided by oesophageal pressure (Poeso) measurement would affect oxygenation and respiratory mechanics during laparoscopic gynaecological surgery. DESIGN A randomised controlled study. SETTING A single-centre trial from March 2018 to June 2018. PATIENTS Forty-four adult patients undergoing laparoscopic gynaecological surgery with anticipated duration of surgery more than 2 h. INTERVENTION PEEP set according to Poeso measurement (intervention group) versus PEEP constantly set at 5 cmH2O (control group). MAIN OUTCOME MEASURES Gas exchange and respiratory mechanics after induction and intubation (T0) and at 15 and 60 min after initiation of pneumoperitoneum (T1 and T2, respectively). RESULTS PEEP during pneumoperitoneum was significantly higher in the intervention group than in the control group (T1, 12.5 ± 1.9 vs. 5.0 ± 0.0 cmH2O and T2, 12.4 ± 1.9 vs. 5.0 ± 0.0 cmH2O, both P &lt; 0.001). Partial pressures of oxygen decreased significantly from baseline during pneumoperitoneum in the control group but not in the intervention group. Nevertheless, the changes in partial pressures of oxygen did not differ between groups. Compliance of the respiratory system (CRS) significantly decreased and driving pressure significantly increased during pneumoperitoneum in both groups. However, the changes in CRS and driving pressure were significantly less in the intervention group. Transpulmonary pressure during expiration was maintained in the intervention group while it decreased significantly in the control group. CONCLUSION PEEP setting guided by Poeso measurement showed no beneficial effects in terms of oxygenation but respiratory mechanics were better during laparoscopic gynaecological surgery. TRIAL REGISTRATION ClinicalTrials.gov identifier: NCT03256396.","container-title":"European journal of anaesthesiology","DOI":"10.1097/eja.0000000000001204","issue":"11","note":"publisher: Wolters Kluwer Health","page":"1032-1039","title":"Effects of intra-operative positive end-expiratory pressure setting guided by oesophageal pressure measurement on oxygenation and respiratory mechanics during laparoscopic gynaecological surgery: A randomised controlled trial.","volume":"37","author":[{"family":"Piriyapatsom","given":"Annop; Phetkampang","suffix":"Sanchai"}],"issued":{"date-parts":[["2020"]]}}},{"id":1566,"uris":["http://zotero.org/users/local/L5HAWlIW/items/5KHQPKBX"],"itemData":{"id":1566,"type":"article-journal","container-title":"Egyptian Journal of Anaesthesia","DOI":"10.1080/11101849.2023.2230050","ISSN":"1110-1849","issue":"1","journalAbbreviation":"Egyptian Journal of Anaesthesia","language":"en","page":"496-501","source":"DOI.org (Crossref)","title":"Effect of individualized intraoperative lung recruitment maneuver on postoperative pulmonary complications in patients undergoing upper abdominal surgeries under general anesthesia","volume":"39","author":[{"family":"Mohammad Salama","given":"Mohammad Elhossieny"},{"family":"El-Taher","given":"Ezzat Mohamed"},{"family":"Abdel-Rahman Al-Touny","given":"Ahmad Hamed"},{"family":"Ismail","given":"Reda Aboelmagd"},{"family":"Abdel-Ghaffar","given":"Mohamed Emad Eldin"}],"issued":{"date-parts":[["2023",12,31]]}}},{"id":28,"uris":["http://zotero.org/users/local/L5HAWlIW/items/BBD2PA7M"],"itemData":{"id":28,"type":"article-journal","container-title":"Obesity Surgery","DOI":"10.1007/s11695-018-03662-x","ISSN":"0960-8923, 1708-0428","issue":"4","journalAbbreviation":"OBES SURG","language":"en","note":"number: 4","page":"1268-1275","source":"DOI.org (Crossref)","title":"Does Lung Compliance Optimization Through PEEP Manipulations Reduce the Incidence of Postoperative Hypoxemia in Laparoscopic Bariatric Surgery? A Randomized Trial","title-short":"Does Lung Compliance Optimization Through PEEP Manipulations Reduce the Incidence of Postoperative Hypoxemia in Laparoscopic Bariatric Surgery?","volume":"29","author":[{"family":"Van Hecke","given":"Delphine"},{"family":"Bidgoli","given":"Javad S."},{"family":"Van der Linden","given":"Philippe"}],"issued":{"date-parts":[["2019",4]]}}},{"id":1564,"uris":["http://zotero.org/users/local/L5HAWlIW/items/FCGMMFJC"],"itemData":{"id":1564,"type":"article-journal","abstract":"Introduction\n              \n                During pneumoperitoneum (PNP), airway driving pressure (ΔP\n                RS\n                ) increases due to the stiffness of the chest wall and cephalic shift of the diaphragm, which favors atelectasis. In addition, depending on the mechanical power (MP) formulas, they may lead to different interpretations.\n              \n            \n            \n              Methods\n              \n                Patients &amp;gt;18 years of age with body mass index &amp;gt;35 kg/m\n                2\n                were included in a single-center randomized controlled trial during their admission for bariatric surgery by abdominal laparoscopy. Intra-abdominal pressure was set at 15 mmHg at the pneumoperitoneum time point (PNP). After the recruitment maneuver, the lowest respiratory system elastance (E\n                RS\n                ) was detected during the positive end-expiratory pressure (PEEP) step-wise decrement. Patients were randomized to the 1) CTRL group: ventilated with PEEP of 5 cmH\n                2\n                O and 2) PEEP\n                IND\n                group: ventilated with PEEP value associated with E\n                RS\n                that is 5% higher than its lowest level. Respiratory system mechanics and mean arterial pressure (MAP) were assessed at the PNP, 5 min after randomization (T1), and at the end of the ventilation protocol (T2); arterial blood gas was assessed at PNP and T2. ΔP\n                RS\n                was the primary outcome. Three MP formulas were used: MP\n                A\n                , which computes static PEEP × volume, elastic, and resistive components; MP\n                B\n                , which computes only the elastic component; and MP\n                C\n                , which computes static PEEP × volume, elastic, and resistive components without inspiratory holds.\n              \n            \n            \n              Results\n              \n                Twenty-eight patients were assessed for eligibility: eight were not included and 20 patients were randomized and allocated to CTRL and PEEP\n                IND\n                groups (\n                n\n                = 10/group). The PEEP\n                IND\n                ventilator strategy reduced ΔP\n                RS\n                when compared with the CTRL group (PEEP\n                IND\n                , 13 ± 2 cmH\n                2\n                O; CTRL, 22 ± 4 cmH\n                2\n                O;\n                p\n                &amp;lt; 0.001). Oxygenation improved in the PEEP\n                IND\n                group when compared with the CTRL group (\n                p\n                = 0.029), whereas MAP was comparable between the PEEP\n                IND\n                and CTRL groups. At the end of surgery, MP\n                A\n                and MP\n                B\n                were correlated in both the CTRL (rho = 0.71,\n                p\n                = 0.019) and PEEP\n                IND\n                (rho = 0.84,\n                p\n                = 0.020) groups but showed different bias (CTRL, −1.9 J/min; PEEP\n                IND\n                , +10.0 J/min). At the end of the surgery, MP\n                A\n                and MP\n                C\n                were correlated in both the CTRL (rho = 0.71,\n                p\n                = 0.019) and PEEP\n                IND\n                (rho = 0.84,\n                p\n                = 0.020) groups but showed different bias (CTRL, −1.9 J/min; PEEP\n                IND\n                , +10.0 J/min).\n              \n            \n            \n              Conclusion\n              \n                Individualized PEEP was associated with a reduction in ΔP\n                RS\n                and an improvement in oxygenation with comparable MAP. The MP, which solely computes the elastic component, better reflected the improvement in ΔP\n                RS\n                observed in the individualized PEEP group.\n              \n            \n            \n              Clinical Trial Registration:\n              The protocol was registered at the Brazilian Registry of Clinical Trials (U1111-1220-7296).","container-title":"Frontiers in Physiology","DOI":"10.3389/fphys.2024.1383167","ISSN":"1664-042X","journalAbbreviation":"Front. Physiol.","page":"1383167","source":"DOI.org (Crossref)","title":"Individualized positive end-expiratory pressure reduces driving pressure in obese patients during laparoscopic surgery under pneumoperitoneum: a randomized clinical trial","title-short":"Individualized positive end-expiratory pressure reduces driving pressure in obese patients during laparoscopic surgery under pneumoperitoneum","volume":"15","author":[{"family":"Xavier","given":"Tiago Batista"},{"family":"Coelho","given":"Leonardo Vicente"},{"family":"Ferreira","given":"Daniel Antonio Lopes"},{"family":"Cota Y Raposeiras","given":"José Manuel"},{"family":"Duran","given":"Marcelo Sampaio"},{"family":"Silva","given":"Leticia Almeida"},{"family":"Motta-Ribeiro","given":"Gabriel Casulari Da"},{"family":"Camilo","given":"Luciana Moisés"},{"family":"Carvalho","given":"Alysson Roncally Silva"},{"family":"Silva","given":"Pedro Leme"}],"issued":{"date-parts":[["2024",4,5]]}}},{"id":1558,"uris":["http://zotero.org/users/local/L5HAWlIW/items/QIKG7S9M"],"itemData":{"id":1558,"type":"article-journal","container-title":"Diabetes, Metabolic Syndrome and Obesity","DOI":"10.2147/DMSO.S405804","ISSN":"1178-7007","journalAbbreviation":"DMSO","language":"en","license":"https://creativecommons.org/licenses/by-nc/3.0/","page":"1515-1523","source":"DOI.org (Crossref)","title":"Driving Pressure-Guided Ventilation in Obese Patients Undergoing Laparoscopic Sleeve Gastrectomy: A Randomized Controlled Trial","title-short":"Driving Pressure-Guided Ventilation in Obese Patients Undergoing Laparoscopic Sleeve Gastrectomy","volume":"Volume 16","author":[{"family":"Yang","given":"Guanyu"},{"family":"Zhang","given":"Pin"},{"family":"Li","given":"Liumei"},{"family":"Wang","given":"Jingjing"},{"family":"Jiao","given":"Pengfei"},{"family":"Wang","given":"Jie"},{"family":"Chu","given":"Qinjun"}],"issued":{"date-parts":[["2023",5]]}}},{"id":157,"uris":["http://zotero.org/users/local/L5HAWlIW/items/9I65CFBK"],"itemData":{"id":157,"type":"article-journal","abstract":"Background The optimal positive end-expiratory pressure (PEEP) to prevent postoperative pulmonary complications (PPCs) remains unclear. Recent evidence showed that driving pressure was closely related to PPCs. In this study, we tested the hypothesis that an individualized PEEP guided by minimum driving pressure during abdominal surgery would reduce the incidence of PPCs. Methods This single-centered, randomized controlled trial included a total of 148 patients scheduled for open upper abdominal surgery. Patients were randomly assigned to receive an individualized PEEP guided by minimum driving pressure or an empiric fixed PEEP of 6 cm H2O. The primary outcome was the incidence of clinically significant PPCs within the first 7 days after surgery, using a χ2 test. Secondary outcomes were the severity of PPCs, the area of atelectasis, and pleural effusion. Other outcomes, such as the incidence of different types of PPCs (including hypoxemia, atelectasis, pleural effusion, dyspnea, pneumonia, pneumothorax, and acute respiratory distress syndrome), intensive care unit (ICU) admission rate, length of hospital stay, and 30-day mortality were also explored. Results The median value of PEEP in the individualized group was 10 cm H2O. The incidence of clinically significant PPCs was significantly lower in the individualized PEEP group compared with that in the fixed PEEP group (26 of 67 [38.8%] vs 42 of 67 [62.7%], relative risk = 0.619, 95% confidence intervals, 0.435-0.881; P = .006). The overall severity of PPCs and the area of atelectasis were also significantly diminished in the individualized PEEP group. Higher respiratory compliance during surgery and improved intra- and postoperative oxygenation was observed in the individualized group. No significant differences were found in other outcomes between the 2 groups, such as ICU admission rate or 30-day mortality. Conclusions The application of individualized PEEP based on minimum driving pressure may effectively decrease the severity of atelectasis, improve oxygenation, and reduce the incidence of clinically significant PPCs after open upper abdominal surgery.","container-title":"Anesthesia and analgesia","DOI":"10.1213/ane.0000000000005575","issue":"5","note":"publisher: Lippincott Williams and Wilkins","page":"1197-1205","title":"Driving Pressure-Guided Individualized Positive End-Expiratory Pressure in Abdominal Surgery: A Randomized Controlled Trial.","volume":"133","author":[{"family":"Zhang","given":"Chengmi; Xu","suffix":"Fengying; Li, Weiwei; Tong, Xingyu; Xia, Ran; Wang, Wei; Du, Jianer; Shi, Xueyin"}],"issued":{"date-parts":[["2021"]]}}},{"id":1556,"uris":["http://zotero.org/users/local/L5HAWlIW/items/BRUJD782"],"itemData":{"id":1556,"type":"article-journal","abstract":"Abstract\n            \n              To investigate whether driving pressure–guided ventilation could contribute to a more homogeneous distribution in the lung for gynecological laparoscopy. Chinese patients were randomized, after pneumoperitoneum, to receive either positive end expiratory pressure (PEEP) of 5 cm H\n              2\n              O (control group), or individualized PEEP producing the lowest driving pressure (titration group). Ventilation homogeneity is quantified as the global inhomogeneity (GI) index based on electrical impedance tomography, with a lower index implying more homogeneous ventilation. The perioperative arterial oxygenation index and respiratory system mechanics were also recorded. Blood samples were collected for lung injury biomarkers including interleukin-10, neutrophil elastase, and Clara Cell protein-16. A total of 48 patients were included for analysis. We observed a significant increase in the GI index immediately after tracheal extubation compared to preinduction in the control group (\n              p\n               = 0.040) but not in the titration group (\n              p\n               = 0.279). Furthermore, the GI index was obviously lower in the titration group than in the control group [0.390 (0.066) vs 0.460 (0.074),\n              p\n               = 0.0012]. The oxygenation index and respiratory compliance were significantly higher in the titration group than in the control group. No significant differences in biomarkers or hemodynamics were detected between the two groups. Driving pressure–guided PEEP led to more homogeneous ventilation, as well as improved gas exchange and respiratory compliance for patients undergoing gynecological laparoscopy.\n            \n            \n              Trial Registration\n              : ClinicalTrials.gov NCT04374162; first registration on 05/05/2020.","container-title":"Scientific Reports","DOI":"10.1038/s41598-022-26144-8","ISSN":"2045-2322","issue":"1","journalAbbreviation":"Sci Rep","language":"en","page":"21687","source":"DOI.org (Crossref)","title":"Driving pressure-guided ventilation improves homogeneity in lung gas distribution for gynecological laparoscopy: a randomized controlled trial","title-short":"Driving pressure-guided ventilation improves homogeneity in lung gas distribution for gynecological laparoscopy","volume":"12","author":[{"family":"Zhang","given":"Wei"},{"family":"Liu","given":"Feifei"},{"family":"Zhao","given":"Zhanqi"},{"family":"Shao","given":"Chunqing"},{"family":"Xu","given":"Xin"},{"family":"Ma","given":"Jiajia"},{"family":"Han","given":"Ruquan"}],"issued":{"date-parts":[["2022",12,15]]}}},{"id":1554,"uris":["http://zotero.org/users/local/L5HAWlIW/items/RGSHQSMS"],"itemData":{"id":1554,"type":"article-journal","abstract":"Abstract\n            \n              Background\n              This trial aimed to evaluate the effects of a protective ventilation strategy on oxygenation/pulmonary indexes in patients undergoing robot-assisted radical prostatectomy (RARP) in the steep Trendelenburg position.\n            \n            \n              Methods\n              \n                In phase 1, the most optimal positive end-expiratory pressure (PEEP) was determined in 25 patients at 11 cmH\n                2\n                O. In phase 2, 64 patients were randomized to the traditional ventilation group with tidal volume (VT) of 9 ml/kg of predicted body weight (PBW) and the protective ventilation group with VT of 7 ml/kg of PBW with optimal PEEP and recruitment maneuvers (RMs). The primary endpoint was the intraoperative and postoperative PaO\n                2\n                /FiO\n                2\n                . The secondary endpoints were the PaCO\n                2\n                , SpO\n                2\n                , modified clinical pulmonary infection score (mCPIS), and the rate of complications in the postoperative period.\n              \n            \n            \n              Results\n              \n                Compared with controls, PaO\n                2\n                /FiO\n                2\n                in the protective group increased after the second RM (\n                P\n                =0.018), and the difference remained until postoperative day 3 (\n                P\n                =0.043). PaCO\n                2\n                showed transient accumulation in the protective group after the first RM (T2), but this phenomenon disappeared with time. SpO\n                2\n                in the protective group was significantly higher during the first three postoperative days. Lung compliance was significantly improved after the second RM in the protective group (\n                P\n                =0.025). The mCPIS was lower in the protective group on postoperative day 3 (0.59 (1.09) vs. 1.46 (1.27),\n                P\n                =0.010).\n              \n            \n            \n              Conclusion\n              A protective ventilation strategy with lower VT combined with optimal PEEP and RMs could improve oxygenation and reduce mCPIS in patients undergoing RARP.\n            \n            \n              Trial registration\n              \n                ChiCTR\n                ChiCTR1800015626\n                . Registered on 12 April 2018.","container-title":"Trials","DOI":"10.1186/s13063-021-05310-9","ISSN":"1745-6215","issue":"1","journalAbbreviation":"Trials","language":"en","page":"351","source":"DOI.org (Crossref)","title":"Protective mechanical ventilation with optimal PEEP during RARP improves oxygenation and pulmonary indexes","volume":"22","author":[{"family":"Zhou","given":"Jianwei"},{"family":"Wang","given":"Chuanguang"},{"family":"Lv","given":"Ran"},{"family":"Liu","given":"Na"},{"family":"Huang","given":"Yan"},{"family":"Wang","given":"Wu"},{"family":"Yu","given":"Lina"},{"family":"Xie","given":"Junran"}],"issued":{"date-parts":[["2021",12]]}}},{"id":1562,"uris":["http://zotero.org/users/local/L5HAWlIW/items/ANKXGAEQ"],"itemData":{"id":1562,"type":"article-journal","abstract":"Background\n              Electrical impedance tomography (EIT) has been shown to be useful in guiding individual positive end-expiratory pressure titration for patients with mechanical ventilation. However, the appropriate positive end-expiratory pressure (PEEP) level and whether the individualized PEEP needs to be adjusted during long-term surgery (&amp;gt;6 h) were unknown. Meanwhile, the effect of individualized PEEP on the distribution of pulmonary ventilation in patients who receive abdominal thermoperfusion chemotherapy is unknown. The primary aim of this study was to observe the effect of EIT-guided PEEP on the distribution of pulmonary ventilation in patients undergoing cytoreductive surgery (CRS) combined with hot intraperitoneal chemotherapy (HIPEC). The secondary aim was to analyze their effect on postoperative pulmonary complications.\n            \n            \n              Methods\n              \n                A total of 48 patients were recruited and randomly divided into two groups, with 24 patients in each group. For the control group (group A), PEEP was set at 5 cm H\n                2\n                O, while in the EIT group (group B), individual PEEP was titrated and adjusted every 2 h with EIT guidance. Ventilation distribution, respiratory/circulation parameters, and PPC incidence were compared between the two groups.\n              \n            \n            \n              Results\n              \n                The average individualized PEEP was 10.3 ± 1.5 cm H\n                2\n                O, 10.2 ± 1.6 cm H\n                2\n                O, 10.1 ± 1.8 cm H\n                2\n                O, and 9.7 ± 2.1 cm H\n                2\n                O at 5 min, 2 h, 4 h, and 6 h after tracheal intubation during CRS + HIPEC. Individualized PEEP was correlated with ventilation distribution in the regions of interest (ROI) 1 and ROI 3 at 4 h mechanical ventilation and ROI 1 at 6 h mechanical ventilation. The ventilation distribution under individualized PEEP was back-shifted for 6 h but moved to the control group’s ventral side under PEEP 5 cm H\n                2\n                O. The respiratory and circulatory function indicators were both acceptable either under individualized PEEP or PEEP 5 cm H\n                2\n                O. The incidence of total PPCs was significantly lower under individualized PEEP (66.7%) than PEEP 5 cm H\n                2\n                O (37.5%) for patients with CRS + HIPEC.\n              \n            \n            \n              Conclusion\n              \n                The appropriate individualized PEEP was stable at approximately 10 cm H\n                2\n                O during 6 h for patients with CRS + HIPEC, along with better ventilation distribution and a lower total PPC incidence than the fixed PEEP of 5 cm H\n                2\n                O.\n              \n              \n                Clinical trial registration:\n                identifier ChiCTR1900023897.","container-title":"Frontiers in Medicine","DOI":"10.3389/fmed.2023.1198720","ISSN":"2296-858X","journalAbbreviation":"Front. Med.","page":"1198720.","source":"DOI.org (Crossref)","title":"Effect of individualized positive end-expiratory pressure based on electrical impedance tomography guidance on pulmonary ventilation distribution in patients who receive abdominal thermal perfusion chemotherapy","volume":"10","author":[{"family":"Xiao","given":"Li"},{"family":"Yu","given":"Kang"},{"family":"Yang","given":"Jiao-Jiao"},{"family":"Liu","given":"Wen-Tao"},{"family":"Liu","given":"Lei"},{"family":"Miao","given":"Hui-Hui"},{"family":"Li","given":"Tian-Zuo"}],"issued":{"date-parts":[["2023",9,5]]}}}],"schema":"https://github.com/citation-style-language/schema/raw/master/csl-citation.json"} </w:instrText>
      </w:r>
      <w:r w:rsidR="00CE7F2E" w:rsidRPr="00DB58BF">
        <w:rPr>
          <w:lang w:val="en-US"/>
        </w:rPr>
        <w:fldChar w:fldCharType="separate"/>
      </w:r>
      <w:r w:rsidR="00CD53D9" w:rsidRPr="00DB58BF">
        <w:rPr>
          <w:rFonts w:cs="Times New Roman"/>
          <w:kern w:val="0"/>
        </w:rPr>
        <w:t>[1,3,6,13–15,17,45–67]</w:t>
      </w:r>
      <w:r w:rsidR="00CE7F2E" w:rsidRPr="00DB58BF">
        <w:rPr>
          <w:lang w:val="en-US"/>
        </w:rPr>
        <w:fldChar w:fldCharType="end"/>
      </w:r>
      <w:r w:rsidR="001A4462" w:rsidRPr="00DB58BF">
        <w:rPr>
          <w:lang w:val="en-US"/>
        </w:rPr>
        <w:t>.</w:t>
      </w:r>
      <w:r w:rsidRPr="00DB58BF">
        <w:rPr>
          <w:lang w:val="en-US"/>
        </w:rPr>
        <w:t xml:space="preserve"> </w:t>
      </w:r>
      <w:r w:rsidR="003F4A6E" w:rsidRPr="00DB58BF">
        <w:rPr>
          <w:lang w:val="en-US"/>
        </w:rPr>
        <w:t>B</w:t>
      </w:r>
      <w:r w:rsidRPr="00DB58BF">
        <w:rPr>
          <w:lang w:val="en-US"/>
        </w:rPr>
        <w:t>aseline characteristics of the included studies, such as patient population, PEEP titration strategies, and types of surgery, are summarized in</w:t>
      </w:r>
      <w:r w:rsidR="00E6266E" w:rsidRPr="00DB58BF">
        <w:rPr>
          <w:lang w:val="en-US"/>
        </w:rPr>
        <w:t xml:space="preserve"> </w:t>
      </w:r>
      <w:r w:rsidR="000709F1" w:rsidRPr="00DB58BF">
        <w:rPr>
          <w:lang w:val="en-US"/>
        </w:rPr>
        <w:fldChar w:fldCharType="begin"/>
      </w:r>
      <w:r w:rsidR="000709F1" w:rsidRPr="00DB58BF">
        <w:rPr>
          <w:lang w:val="en-US"/>
        </w:rPr>
        <w:instrText xml:space="preserve"> REF _Ref204000358 \h </w:instrText>
      </w:r>
      <w:r w:rsidR="00DB58BF">
        <w:rPr>
          <w:lang w:val="en-US"/>
        </w:rPr>
        <w:instrText xml:space="preserve"> \* MERGEFORMAT </w:instrText>
      </w:r>
      <w:r w:rsidR="000709F1" w:rsidRPr="00DB58BF">
        <w:rPr>
          <w:lang w:val="en-US"/>
        </w:rPr>
      </w:r>
      <w:r w:rsidR="000709F1" w:rsidRPr="00DB58BF">
        <w:rPr>
          <w:lang w:val="en-US"/>
        </w:rPr>
        <w:fldChar w:fldCharType="separate"/>
      </w:r>
      <w:proofErr w:type="spellStart"/>
      <w:r w:rsidR="007F7DB3" w:rsidRPr="00DB58BF">
        <w:t>Table</w:t>
      </w:r>
      <w:proofErr w:type="spellEnd"/>
      <w:r w:rsidR="007F7DB3" w:rsidRPr="00DB58BF">
        <w:t xml:space="preserve"> </w:t>
      </w:r>
      <w:r w:rsidR="007F7DB3" w:rsidRPr="00DB58BF">
        <w:rPr>
          <w:noProof/>
        </w:rPr>
        <w:t>1</w:t>
      </w:r>
      <w:r w:rsidR="000709F1" w:rsidRPr="00DB58BF">
        <w:rPr>
          <w:lang w:val="en-US"/>
        </w:rPr>
        <w:fldChar w:fldCharType="end"/>
      </w:r>
      <w:r w:rsidRPr="00DB58BF">
        <w:rPr>
          <w:lang w:val="en-US"/>
        </w:rPr>
        <w:t>. Seven trials focused on PEEP titration in obese patients, while the remaining studies involved non-obese patients undergoing either laparoscopic or open surgeries. Some studies included mixed populations or surgery types; these were categorized into the miscellaneous group for analysis.</w:t>
      </w:r>
    </w:p>
    <w:p w14:paraId="4B79E384" w14:textId="685822A7" w:rsidR="00010EC0" w:rsidRDefault="00010EC0" w:rsidP="00E96E88">
      <w:pPr>
        <w:pStyle w:val="Caption"/>
        <w:keepNext/>
      </w:pPr>
      <w:bookmarkStart w:id="30" w:name="_Ref204000358"/>
      <w:bookmarkStart w:id="31" w:name="_Ref204000325"/>
      <w:proofErr w:type="spellStart"/>
      <w:r>
        <w:t>Table</w:t>
      </w:r>
      <w:proofErr w:type="spellEnd"/>
      <w:r>
        <w:t xml:space="preserve"> </w:t>
      </w:r>
      <w:fldSimple w:instr=" SEQ Table \* ARABIC ">
        <w:r w:rsidR="007F7DB3">
          <w:rPr>
            <w:noProof/>
          </w:rPr>
          <w:t>1</w:t>
        </w:r>
      </w:fldSimple>
      <w:bookmarkEnd w:id="30"/>
      <w:r>
        <w:t xml:space="preserve"> - </w:t>
      </w:r>
      <w:proofErr w:type="spellStart"/>
      <w:r w:rsidRPr="006376E7">
        <w:t>Baseline</w:t>
      </w:r>
      <w:proofErr w:type="spellEnd"/>
      <w:r w:rsidRPr="006376E7">
        <w:t xml:space="preserve"> </w:t>
      </w:r>
      <w:proofErr w:type="spellStart"/>
      <w:r w:rsidRPr="006376E7">
        <w:t>characteristics</w:t>
      </w:r>
      <w:proofErr w:type="spellEnd"/>
      <w:r w:rsidRPr="006376E7">
        <w:t xml:space="preserve"> of </w:t>
      </w:r>
      <w:proofErr w:type="spellStart"/>
      <w:r w:rsidRPr="006376E7">
        <w:t>the</w:t>
      </w:r>
      <w:proofErr w:type="spellEnd"/>
      <w:r w:rsidRPr="006376E7">
        <w:t xml:space="preserve"> </w:t>
      </w:r>
      <w:proofErr w:type="spellStart"/>
      <w:r w:rsidRPr="006376E7">
        <w:t>included</w:t>
      </w:r>
      <w:proofErr w:type="spellEnd"/>
      <w:r w:rsidRPr="006376E7">
        <w:t xml:space="preserve"> </w:t>
      </w:r>
      <w:proofErr w:type="spellStart"/>
      <w:r w:rsidRPr="006376E7">
        <w:t>studies</w:t>
      </w:r>
      <w:proofErr w:type="spellEnd"/>
      <w:r w:rsidRPr="006376E7">
        <w:t xml:space="preserve"> in </w:t>
      </w:r>
      <w:proofErr w:type="spellStart"/>
      <w:r w:rsidRPr="006376E7">
        <w:t>Study</w:t>
      </w:r>
      <w:proofErr w:type="spellEnd"/>
      <w:r w:rsidRPr="006376E7">
        <w:t xml:space="preserve"> I.</w:t>
      </w:r>
      <w:bookmarkEnd w:id="31"/>
    </w:p>
    <w:tbl>
      <w:tblPr>
        <w:tblW w:w="8505" w:type="dxa"/>
        <w:jc w:val="center"/>
        <w:tblBorders>
          <w:top w:val="single" w:sz="8" w:space="0" w:color="auto"/>
          <w:bottom w:val="single" w:sz="8" w:space="0" w:color="auto"/>
        </w:tblBorders>
        <w:tblLayout w:type="fixed"/>
        <w:tblCellMar>
          <w:left w:w="0" w:type="dxa"/>
          <w:right w:w="0" w:type="dxa"/>
        </w:tblCellMar>
        <w:tblLook w:val="0480" w:firstRow="0" w:lastRow="0" w:firstColumn="1" w:lastColumn="0" w:noHBand="0" w:noVBand="1"/>
      </w:tblPr>
      <w:tblGrid>
        <w:gridCol w:w="1701"/>
        <w:gridCol w:w="976"/>
        <w:gridCol w:w="3348"/>
        <w:gridCol w:w="1521"/>
        <w:gridCol w:w="959"/>
      </w:tblGrid>
      <w:tr w:rsidR="00606986" w:rsidRPr="00483D15" w14:paraId="11869A6E" w14:textId="77777777" w:rsidTr="00E6266E">
        <w:trPr>
          <w:trHeight w:val="465"/>
          <w:jc w:val="center"/>
        </w:trPr>
        <w:tc>
          <w:tcPr>
            <w:tcW w:w="1701" w:type="dxa"/>
            <w:tcBorders>
              <w:bottom w:val="single" w:sz="4" w:space="0" w:color="auto"/>
            </w:tcBorders>
            <w:vAlign w:val="center"/>
          </w:tcPr>
          <w:p w14:paraId="7DF46114" w14:textId="77777777" w:rsidR="000031F6" w:rsidRPr="00483D15" w:rsidRDefault="000031F6" w:rsidP="000031F6">
            <w:pPr>
              <w:pStyle w:val="MDPI42tablebody"/>
              <w:spacing w:line="240" w:lineRule="auto"/>
              <w:rPr>
                <w:b/>
                <w:snapToGrid/>
                <w:color w:val="auto"/>
                <w:sz w:val="16"/>
                <w:szCs w:val="16"/>
              </w:rPr>
            </w:pPr>
            <w:r w:rsidRPr="00483D15">
              <w:rPr>
                <w:b/>
                <w:snapToGrid/>
                <w:color w:val="auto"/>
                <w:sz w:val="16"/>
                <w:szCs w:val="16"/>
              </w:rPr>
              <w:t>Study</w:t>
            </w:r>
          </w:p>
        </w:tc>
        <w:tc>
          <w:tcPr>
            <w:tcW w:w="976" w:type="dxa"/>
            <w:tcBorders>
              <w:bottom w:val="single" w:sz="4" w:space="0" w:color="auto"/>
            </w:tcBorders>
            <w:vAlign w:val="center"/>
          </w:tcPr>
          <w:p w14:paraId="233D3248" w14:textId="77777777" w:rsidR="000031F6" w:rsidRPr="00483D15" w:rsidRDefault="000031F6" w:rsidP="000031F6">
            <w:pPr>
              <w:pStyle w:val="MDPI42tablebody"/>
              <w:spacing w:line="240" w:lineRule="auto"/>
              <w:rPr>
                <w:b/>
                <w:snapToGrid/>
                <w:color w:val="auto"/>
                <w:sz w:val="16"/>
                <w:szCs w:val="16"/>
              </w:rPr>
            </w:pPr>
            <w:r w:rsidRPr="00483D15">
              <w:rPr>
                <w:b/>
                <w:snapToGrid/>
                <w:color w:val="auto"/>
                <w:sz w:val="16"/>
                <w:szCs w:val="16"/>
              </w:rPr>
              <w:t>Patients – intervention/control (n)</w:t>
            </w:r>
          </w:p>
        </w:tc>
        <w:tc>
          <w:tcPr>
            <w:tcW w:w="3348" w:type="dxa"/>
            <w:tcBorders>
              <w:bottom w:val="single" w:sz="4" w:space="0" w:color="auto"/>
            </w:tcBorders>
            <w:vAlign w:val="center"/>
          </w:tcPr>
          <w:p w14:paraId="7DBEAAED" w14:textId="77777777" w:rsidR="000031F6" w:rsidRPr="00483D15" w:rsidRDefault="000031F6" w:rsidP="000031F6">
            <w:pPr>
              <w:pStyle w:val="MDPI42tablebody"/>
              <w:spacing w:line="240" w:lineRule="auto"/>
              <w:rPr>
                <w:b/>
                <w:snapToGrid/>
                <w:color w:val="auto"/>
                <w:sz w:val="16"/>
                <w:szCs w:val="16"/>
              </w:rPr>
            </w:pPr>
            <w:r w:rsidRPr="00483D15">
              <w:rPr>
                <w:b/>
                <w:snapToGrid/>
                <w:color w:val="auto"/>
                <w:sz w:val="16"/>
                <w:szCs w:val="16"/>
              </w:rPr>
              <w:t>Type of surgery</w:t>
            </w:r>
          </w:p>
        </w:tc>
        <w:tc>
          <w:tcPr>
            <w:tcW w:w="1521" w:type="dxa"/>
            <w:tcBorders>
              <w:bottom w:val="single" w:sz="4" w:space="0" w:color="auto"/>
            </w:tcBorders>
            <w:vAlign w:val="center"/>
          </w:tcPr>
          <w:p w14:paraId="16B03DD6" w14:textId="77777777" w:rsidR="000031F6" w:rsidRPr="00483D15" w:rsidRDefault="000031F6" w:rsidP="000031F6">
            <w:pPr>
              <w:pStyle w:val="MDPI42tablebody"/>
              <w:spacing w:line="240" w:lineRule="auto"/>
              <w:rPr>
                <w:b/>
                <w:snapToGrid/>
                <w:color w:val="auto"/>
                <w:sz w:val="16"/>
                <w:szCs w:val="16"/>
              </w:rPr>
            </w:pPr>
            <w:r w:rsidRPr="00483D15">
              <w:rPr>
                <w:b/>
                <w:snapToGrid/>
                <w:color w:val="auto"/>
                <w:sz w:val="16"/>
                <w:szCs w:val="16"/>
              </w:rPr>
              <w:t>Study group titration method</w:t>
            </w:r>
          </w:p>
        </w:tc>
        <w:tc>
          <w:tcPr>
            <w:tcW w:w="959" w:type="dxa"/>
            <w:tcBorders>
              <w:bottom w:val="single" w:sz="4" w:space="0" w:color="auto"/>
            </w:tcBorders>
            <w:vAlign w:val="center"/>
          </w:tcPr>
          <w:p w14:paraId="0240F86A" w14:textId="5FB784B4" w:rsidR="000031F6" w:rsidRPr="00483D15" w:rsidRDefault="000031F6" w:rsidP="000031F6">
            <w:pPr>
              <w:pStyle w:val="MDPI42tablebody"/>
              <w:spacing w:line="240" w:lineRule="auto"/>
              <w:rPr>
                <w:b/>
                <w:snapToGrid/>
                <w:color w:val="auto"/>
                <w:sz w:val="16"/>
                <w:szCs w:val="16"/>
              </w:rPr>
            </w:pPr>
            <w:r w:rsidRPr="00483D15">
              <w:rPr>
                <w:b/>
                <w:snapToGrid/>
                <w:color w:val="auto"/>
                <w:sz w:val="16"/>
                <w:szCs w:val="16"/>
              </w:rPr>
              <w:t>Control group PEEP used (cmH</w:t>
            </w:r>
            <w:r w:rsidRPr="0046796C">
              <w:rPr>
                <w:b/>
                <w:snapToGrid/>
                <w:color w:val="auto"/>
                <w:sz w:val="16"/>
                <w:szCs w:val="16"/>
                <w:vertAlign w:val="subscript"/>
              </w:rPr>
              <w:t>2</w:t>
            </w:r>
            <w:r w:rsidRPr="00483D15">
              <w:rPr>
                <w:b/>
                <w:snapToGrid/>
                <w:color w:val="auto"/>
                <w:sz w:val="16"/>
                <w:szCs w:val="16"/>
              </w:rPr>
              <w:t>O)</w:t>
            </w:r>
          </w:p>
        </w:tc>
      </w:tr>
      <w:tr w:rsidR="00606986" w:rsidRPr="00483D15" w14:paraId="7D497419" w14:textId="77777777" w:rsidTr="00E6266E">
        <w:trPr>
          <w:trHeight w:val="465"/>
          <w:jc w:val="center"/>
        </w:trPr>
        <w:tc>
          <w:tcPr>
            <w:tcW w:w="1701" w:type="dxa"/>
            <w:tcBorders>
              <w:bottom w:val="single" w:sz="4" w:space="0" w:color="auto"/>
            </w:tcBorders>
            <w:vAlign w:val="center"/>
          </w:tcPr>
          <w:p w14:paraId="73DF2FF9" w14:textId="3C75D760"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Deeparaj et al., 2023</w:t>
            </w:r>
            <w:r w:rsidR="003F4564" w:rsidRPr="00483D15">
              <w:rPr>
                <w:bCs/>
                <w:snapToGrid/>
                <w:color w:val="auto"/>
                <w:sz w:val="16"/>
                <w:szCs w:val="16"/>
              </w:rPr>
              <w:fldChar w:fldCharType="begin"/>
            </w:r>
            <w:r w:rsidR="00E74971">
              <w:rPr>
                <w:bCs/>
                <w:snapToGrid/>
                <w:color w:val="auto"/>
                <w:sz w:val="16"/>
                <w:szCs w:val="16"/>
              </w:rPr>
              <w:instrText xml:space="preserve"> ADDIN ZOTERO_ITEM CSL_CITATION {"citationID":"1Q7vrnf3","properties":{"formattedCitation":"[47]","plainCitation":"[47]","noteIndex":0},"citationItems":[{"id":5108,"uris":["http://zotero.org/users/local/L5HAWlIW/items/8YNSRVG3"],"itemData":{"id":5108,"type":"article-journal","container-title":"Cureus","DOI":"10.7759/cureus.40278","ISSN":"2168-8184","language":"en","source":"DOI.org (Crossref)","title":"Effect of Lung Compliance-Based Optimum Pressure Versus Fixed Positive End-Expiratory Pressure on Lung Atelectasis Assessed by Modified Lung Ultrasound Score in Laparoscopic Gynecological Surgery: A Prospective Randomized Controlled Trial","title-short":"Effect of Lung Compliance-Based Optimum Pressure Versus Fixed Positive End-Expiratory Pressure on Lung Atelectasis Assessed by Modified Lung Ultrasound Score in Laparoscopic Gynecological Surgery","URL":"https://www.cureus.com/articles/136396-effect-of-lung-compliance-based-optimum-pressure-versus-fixed-positive-end-expiratory-pressure-on-lung-atelectasis-assessed-by-modified-lung-ultrasound-score-in-laparoscopic-gynecological-surgery-a-prospective-randomized-controlled-trial","author":[{"family":"Deeparaj","given":"L"},{"family":"Kumar","given":"Rakesh"},{"family":"Patel","given":"Nishant"},{"family":"Ayub","given":"Arshad"},{"family":"Rewari","given":"Vimi"},{"family":"Subramaniam","given":"Rajeshwari"},{"family":"Roy","given":"Kallol Kumar"}],"accessed":{"date-parts":[["2025",4,28]]},"issued":{"date-parts":[["2023",6,12]]}}}],"schema":"https://github.com/citation-style-language/schema/raw/master/csl-citation.json"} </w:instrText>
            </w:r>
            <w:r w:rsidR="003F4564" w:rsidRPr="00483D15">
              <w:rPr>
                <w:bCs/>
                <w:snapToGrid/>
                <w:color w:val="auto"/>
                <w:sz w:val="16"/>
                <w:szCs w:val="16"/>
              </w:rPr>
              <w:fldChar w:fldCharType="separate"/>
            </w:r>
            <w:r w:rsidR="00E74971" w:rsidRPr="00E74971">
              <w:rPr>
                <w:sz w:val="16"/>
              </w:rPr>
              <w:t>[47]</w:t>
            </w:r>
            <w:r w:rsidR="003F4564" w:rsidRPr="00483D15">
              <w:rPr>
                <w:bCs/>
                <w:snapToGrid/>
                <w:color w:val="auto"/>
                <w:sz w:val="16"/>
                <w:szCs w:val="16"/>
              </w:rPr>
              <w:fldChar w:fldCharType="end"/>
            </w:r>
          </w:p>
        </w:tc>
        <w:tc>
          <w:tcPr>
            <w:tcW w:w="976" w:type="dxa"/>
            <w:tcBorders>
              <w:bottom w:val="single" w:sz="4" w:space="0" w:color="auto"/>
            </w:tcBorders>
            <w:vAlign w:val="center"/>
          </w:tcPr>
          <w:p w14:paraId="54405546"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41/41</w:t>
            </w:r>
          </w:p>
        </w:tc>
        <w:tc>
          <w:tcPr>
            <w:tcW w:w="3348" w:type="dxa"/>
            <w:tcBorders>
              <w:bottom w:val="single" w:sz="4" w:space="0" w:color="auto"/>
            </w:tcBorders>
            <w:vAlign w:val="center"/>
          </w:tcPr>
          <w:p w14:paraId="431434F9"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 xml:space="preserve">laparoscopic </w:t>
            </w:r>
            <w:proofErr w:type="spellStart"/>
            <w:r w:rsidRPr="00483D15">
              <w:rPr>
                <w:bCs/>
                <w:snapToGrid/>
                <w:color w:val="auto"/>
                <w:sz w:val="16"/>
                <w:szCs w:val="16"/>
              </w:rPr>
              <w:t>gynaecological</w:t>
            </w:r>
            <w:proofErr w:type="spellEnd"/>
            <w:r w:rsidRPr="00483D15">
              <w:rPr>
                <w:bCs/>
                <w:snapToGrid/>
                <w:color w:val="auto"/>
                <w:sz w:val="16"/>
                <w:szCs w:val="16"/>
              </w:rPr>
              <w:t xml:space="preserve"> surgery</w:t>
            </w:r>
          </w:p>
        </w:tc>
        <w:tc>
          <w:tcPr>
            <w:tcW w:w="1521" w:type="dxa"/>
            <w:tcBorders>
              <w:bottom w:val="single" w:sz="4" w:space="0" w:color="auto"/>
            </w:tcBorders>
            <w:vAlign w:val="center"/>
          </w:tcPr>
          <w:p w14:paraId="7941066D" w14:textId="6586AC7E" w:rsidR="000031F6" w:rsidRPr="00483D15" w:rsidRDefault="000031F6" w:rsidP="000031F6">
            <w:pPr>
              <w:pStyle w:val="MDPI42tablebody"/>
              <w:spacing w:line="240" w:lineRule="auto"/>
              <w:rPr>
                <w:b/>
                <w:snapToGrid/>
                <w:color w:val="auto"/>
                <w:sz w:val="16"/>
                <w:szCs w:val="16"/>
              </w:rPr>
            </w:pPr>
            <w:r w:rsidRPr="00483D15">
              <w:rPr>
                <w:bCs/>
                <w:snapToGrid/>
                <w:color w:val="auto"/>
                <w:sz w:val="16"/>
                <w:szCs w:val="16"/>
              </w:rPr>
              <w:t>Cstat</w:t>
            </w:r>
            <w:r w:rsidRPr="00483D15">
              <w:rPr>
                <w:bCs/>
                <w:snapToGrid/>
                <w:color w:val="auto"/>
                <w:sz w:val="16"/>
                <w:szCs w:val="16"/>
                <w:vertAlign w:val="superscript"/>
              </w:rPr>
              <w:t xml:space="preserve"> </w:t>
            </w:r>
            <w:r w:rsidRPr="00483D15">
              <w:rPr>
                <w:bCs/>
                <w:snapToGrid/>
                <w:color w:val="auto"/>
                <w:sz w:val="16"/>
                <w:szCs w:val="16"/>
              </w:rPr>
              <w:t>-guided</w:t>
            </w:r>
          </w:p>
        </w:tc>
        <w:tc>
          <w:tcPr>
            <w:tcW w:w="959" w:type="dxa"/>
            <w:tcBorders>
              <w:bottom w:val="single" w:sz="4" w:space="0" w:color="auto"/>
            </w:tcBorders>
            <w:vAlign w:val="center"/>
          </w:tcPr>
          <w:p w14:paraId="4EA078DC"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5</w:t>
            </w:r>
          </w:p>
        </w:tc>
      </w:tr>
      <w:tr w:rsidR="00606986" w:rsidRPr="00483D15" w14:paraId="3D6B619B" w14:textId="77777777" w:rsidTr="00E6266E">
        <w:trPr>
          <w:trHeight w:val="465"/>
          <w:jc w:val="center"/>
        </w:trPr>
        <w:tc>
          <w:tcPr>
            <w:tcW w:w="1701" w:type="dxa"/>
            <w:tcBorders>
              <w:bottom w:val="single" w:sz="4" w:space="0" w:color="auto"/>
            </w:tcBorders>
            <w:vAlign w:val="center"/>
          </w:tcPr>
          <w:p w14:paraId="05F7DDAB" w14:textId="125D77CA"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Eichler et al., 2018</w:t>
            </w:r>
            <w:r w:rsidR="003F4564" w:rsidRPr="00483D15">
              <w:rPr>
                <w:bCs/>
                <w:snapToGrid/>
                <w:color w:val="auto"/>
                <w:sz w:val="16"/>
                <w:szCs w:val="16"/>
              </w:rPr>
              <w:fldChar w:fldCharType="begin"/>
            </w:r>
            <w:r w:rsidR="00E06898">
              <w:rPr>
                <w:bCs/>
                <w:snapToGrid/>
                <w:color w:val="auto"/>
                <w:sz w:val="16"/>
                <w:szCs w:val="16"/>
              </w:rPr>
              <w:instrText xml:space="preserve"> ADDIN ZOTERO_ITEM CSL_CITATION {"citationID":"Hs9sq6XL","properties":{"formattedCitation":"[48]","plainCitation":"[48]","noteIndex":0},"citationItems":[{"id":198,"uris":["http://zotero.org/users/local/L5HAWlIW/items/YALB6N24"],"itemData":{"id":198,"type":"article-journal","abstract":"Bariatric surgery has proven a successful approach in the treatment of morbid obesity and its concomitant diseases such as diabetes mellitus and arterial hypertension. Aiming for optimal management of this challenging patient cohort, tailored concepts directly guided by individual patient physiology may outperform standardized care. Implying esophageal pressure measurement and electrical impedance tomography—increasingly applied monitoring approaches to individually adjust mechanical ventilation in challenging circumstances like acute respiratory distress syndrome (ARDS) and intraabdominal hypertension—we compared our institutions standard ventilator regimen with an individually adjusted positive end expiratory pressure (PEEP) level aiming for a positive transpulmonary pressure (P L) throughout the respiratory cycle. After obtaining written informed consent, 37 patients scheduled for elective bariatric surgery were studied during mechanical ventilation in reverse Trendelenburg position. Before and after installation of capnoperitoneum, PEEP levels were gradually raised from a standard value of 10 cm H2O until a P L of 0 +/− 1 cm H2O was reached. Changes in ventilation were monitored by electrical impedance tomography (EIT) and arterial blood gases (ABGs) were obtained at the end of surgery and 5 and 60 min after extubation, respectively. To achieve the goal of a transpulmonary pressure (P L) of 0 cm H2O at end expiration, PEEP levels of 16.7 cm H2O (95% KI 15.6–18.1) before and 23.8 cm H2O (95% KI 19.6–40.4) during capnoperitoneum were necessary. EIT measurements confirmed an optimal PEEP level between 10 and 15 cm H2O before and 20 and 25 cm H2O during capnoperitoneum, respectively. Intra- and postoperative oxygenation did not change significantly. Patients during laparoscopic bariatric surgery require high levels of PEEP to maintain a positive transpulmonary pressure throughout the respiratory cycle. EIT monitoring allows for non-invasive monitoring of increasing PEEP demand during capnoperitoneum. Individually adjusted PEEP levels did not result in improved postoperative oxygenation.","container-title":"Obesity surgery","DOI":"10.1007/s11695-017-2794-3","issue":"1","note":"publisher: Springer New York","page":"122-129","title":"Intraoperative Ventilation of Morbidly Obese Patients Guided by Transpulmonary Pressure.","volume":"28","author":[{"family":"Eichler","given":"Lars; Truskowska","suffix":"Katarzyna; Duprée, Anna; Busch, Philipp; Goetz, Alwin E.; Zöllner, Christian"}],"issued":{"date-parts":[["2017"]]}}}],"schema":"https://github.com/citation-style-language/schema/raw/master/csl-citation.json"} </w:instrText>
            </w:r>
            <w:r w:rsidR="003F4564" w:rsidRPr="00483D15">
              <w:rPr>
                <w:bCs/>
                <w:snapToGrid/>
                <w:color w:val="auto"/>
                <w:sz w:val="16"/>
                <w:szCs w:val="16"/>
              </w:rPr>
              <w:fldChar w:fldCharType="separate"/>
            </w:r>
            <w:r w:rsidR="00E06898" w:rsidRPr="00E06898">
              <w:rPr>
                <w:sz w:val="16"/>
              </w:rPr>
              <w:t>[48]</w:t>
            </w:r>
            <w:r w:rsidR="003F4564" w:rsidRPr="00483D15">
              <w:rPr>
                <w:bCs/>
                <w:snapToGrid/>
                <w:color w:val="auto"/>
                <w:sz w:val="16"/>
                <w:szCs w:val="16"/>
              </w:rPr>
              <w:fldChar w:fldCharType="end"/>
            </w:r>
          </w:p>
        </w:tc>
        <w:tc>
          <w:tcPr>
            <w:tcW w:w="976" w:type="dxa"/>
            <w:tcBorders>
              <w:bottom w:val="single" w:sz="4" w:space="0" w:color="auto"/>
            </w:tcBorders>
            <w:vAlign w:val="center"/>
          </w:tcPr>
          <w:p w14:paraId="10FFA2E5"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20/17</w:t>
            </w:r>
          </w:p>
        </w:tc>
        <w:tc>
          <w:tcPr>
            <w:tcW w:w="3348" w:type="dxa"/>
            <w:tcBorders>
              <w:bottom w:val="single" w:sz="4" w:space="0" w:color="auto"/>
            </w:tcBorders>
            <w:vAlign w:val="center"/>
          </w:tcPr>
          <w:p w14:paraId="3A18E064"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laparoscopic bariatric surgery</w:t>
            </w:r>
          </w:p>
        </w:tc>
        <w:tc>
          <w:tcPr>
            <w:tcW w:w="1521" w:type="dxa"/>
            <w:tcBorders>
              <w:bottom w:val="single" w:sz="4" w:space="0" w:color="auto"/>
            </w:tcBorders>
            <w:vAlign w:val="center"/>
          </w:tcPr>
          <w:p w14:paraId="676534D1" w14:textId="77777777" w:rsidR="000031F6" w:rsidRPr="00483D15" w:rsidRDefault="000031F6" w:rsidP="000031F6">
            <w:pPr>
              <w:pStyle w:val="MDPI42tablebody"/>
              <w:spacing w:line="240" w:lineRule="auto"/>
              <w:rPr>
                <w:bCs/>
                <w:snapToGrid/>
                <w:color w:val="auto"/>
                <w:sz w:val="16"/>
                <w:szCs w:val="16"/>
              </w:rPr>
            </w:pPr>
            <w:proofErr w:type="spellStart"/>
            <w:r w:rsidRPr="00483D15">
              <w:rPr>
                <w:bCs/>
                <w:snapToGrid/>
                <w:color w:val="auto"/>
                <w:sz w:val="16"/>
                <w:szCs w:val="16"/>
              </w:rPr>
              <w:t>Ptp</w:t>
            </w:r>
            <w:proofErr w:type="spellEnd"/>
            <w:r w:rsidRPr="00483D15">
              <w:rPr>
                <w:bCs/>
                <w:snapToGrid/>
                <w:color w:val="auto"/>
                <w:sz w:val="16"/>
                <w:szCs w:val="16"/>
              </w:rPr>
              <w:t>-guided</w:t>
            </w:r>
          </w:p>
        </w:tc>
        <w:tc>
          <w:tcPr>
            <w:tcW w:w="959" w:type="dxa"/>
            <w:tcBorders>
              <w:bottom w:val="single" w:sz="4" w:space="0" w:color="auto"/>
            </w:tcBorders>
            <w:vAlign w:val="center"/>
          </w:tcPr>
          <w:p w14:paraId="30A8239F"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10</w:t>
            </w:r>
          </w:p>
        </w:tc>
      </w:tr>
      <w:tr w:rsidR="00606986" w:rsidRPr="00483D15" w14:paraId="2DD0F51C" w14:textId="77777777" w:rsidTr="00E6266E">
        <w:trPr>
          <w:trHeight w:val="465"/>
          <w:jc w:val="center"/>
        </w:trPr>
        <w:tc>
          <w:tcPr>
            <w:tcW w:w="1701" w:type="dxa"/>
            <w:tcBorders>
              <w:bottom w:val="single" w:sz="4" w:space="0" w:color="auto"/>
            </w:tcBorders>
            <w:vAlign w:val="center"/>
          </w:tcPr>
          <w:p w14:paraId="5B8C3ECA" w14:textId="6ADD0388"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Elshazly et al., 2021</w:t>
            </w:r>
            <w:r w:rsidR="003F4564" w:rsidRPr="00483D15">
              <w:rPr>
                <w:bCs/>
                <w:snapToGrid/>
                <w:color w:val="auto"/>
                <w:sz w:val="16"/>
                <w:szCs w:val="16"/>
              </w:rPr>
              <w:fldChar w:fldCharType="begin"/>
            </w:r>
            <w:r w:rsidR="00954B97">
              <w:rPr>
                <w:bCs/>
                <w:snapToGrid/>
                <w:color w:val="auto"/>
                <w:sz w:val="16"/>
                <w:szCs w:val="16"/>
              </w:rPr>
              <w:instrText xml:space="preserve"> ADDIN ZOTERO_ITEM CSL_CITATION {"citationID":"Mr4p3X7H","properties":{"formattedCitation":"[49]","plainCitation":"[49]","noteIndex":0},"citationItems":[{"id":177,"uris":["http://zotero.org/users/local/L5HAWlIW/items/TAVD8H27"],"itemData":{"id":177,"type":"article-journal","abstract":"NA","container-title":"Surgery for obesity and related diseases : official journal of the American Society for Bariatric Surgery","DOI":"10.1016/j.soard.2020.09.023","issue":"2","note":"publisher: Elsevier Inc.","page":"372-378","title":"The use of intraoperative bedside lung ultrasound in optimizing positive end expiratory pressure in obese patients undergoing laparoscopic bariatric surgeries.","volume":"17","author":[{"family":"Elshazly","given":"M.O.; Khair","suffix":"Tamer Mohamed; Bassem, Marina; Mansour, M. A."}],"issued":{"date-parts":[["2020"]]}}}],"schema":"https://github.com/citation-style-language/schema/raw/master/csl-citation.json"} </w:instrText>
            </w:r>
            <w:r w:rsidR="003F4564" w:rsidRPr="00483D15">
              <w:rPr>
                <w:bCs/>
                <w:snapToGrid/>
                <w:color w:val="auto"/>
                <w:sz w:val="16"/>
                <w:szCs w:val="16"/>
              </w:rPr>
              <w:fldChar w:fldCharType="separate"/>
            </w:r>
            <w:r w:rsidR="00954B97" w:rsidRPr="00954B97">
              <w:rPr>
                <w:sz w:val="16"/>
              </w:rPr>
              <w:t>[49]</w:t>
            </w:r>
            <w:r w:rsidR="003F4564" w:rsidRPr="00483D15">
              <w:rPr>
                <w:bCs/>
                <w:snapToGrid/>
                <w:color w:val="auto"/>
                <w:sz w:val="16"/>
                <w:szCs w:val="16"/>
              </w:rPr>
              <w:fldChar w:fldCharType="end"/>
            </w:r>
          </w:p>
        </w:tc>
        <w:tc>
          <w:tcPr>
            <w:tcW w:w="976" w:type="dxa"/>
            <w:tcBorders>
              <w:bottom w:val="single" w:sz="4" w:space="0" w:color="auto"/>
            </w:tcBorders>
            <w:vAlign w:val="center"/>
          </w:tcPr>
          <w:p w14:paraId="2E51B02A"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20/20</w:t>
            </w:r>
          </w:p>
        </w:tc>
        <w:tc>
          <w:tcPr>
            <w:tcW w:w="3348" w:type="dxa"/>
            <w:tcBorders>
              <w:bottom w:val="single" w:sz="4" w:space="0" w:color="auto"/>
            </w:tcBorders>
            <w:vAlign w:val="center"/>
          </w:tcPr>
          <w:p w14:paraId="0EDFFA80"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laparoscopic bariatric surgery</w:t>
            </w:r>
          </w:p>
        </w:tc>
        <w:tc>
          <w:tcPr>
            <w:tcW w:w="1521" w:type="dxa"/>
            <w:tcBorders>
              <w:bottom w:val="single" w:sz="4" w:space="0" w:color="auto"/>
            </w:tcBorders>
            <w:vAlign w:val="center"/>
          </w:tcPr>
          <w:p w14:paraId="4199BFAA"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US-guided</w:t>
            </w:r>
          </w:p>
        </w:tc>
        <w:tc>
          <w:tcPr>
            <w:tcW w:w="959" w:type="dxa"/>
            <w:tcBorders>
              <w:bottom w:val="single" w:sz="4" w:space="0" w:color="auto"/>
            </w:tcBorders>
            <w:vAlign w:val="center"/>
          </w:tcPr>
          <w:p w14:paraId="425ABB51"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4</w:t>
            </w:r>
          </w:p>
        </w:tc>
      </w:tr>
      <w:tr w:rsidR="00606986" w:rsidRPr="00483D15" w14:paraId="6CA2C0E4" w14:textId="77777777" w:rsidTr="00E6266E">
        <w:trPr>
          <w:trHeight w:val="465"/>
          <w:jc w:val="center"/>
        </w:trPr>
        <w:tc>
          <w:tcPr>
            <w:tcW w:w="1701" w:type="dxa"/>
            <w:tcBorders>
              <w:bottom w:val="single" w:sz="4" w:space="0" w:color="auto"/>
            </w:tcBorders>
            <w:vAlign w:val="center"/>
          </w:tcPr>
          <w:p w14:paraId="4457EF1D" w14:textId="03EAC312"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Fernandez-Bustamante et al., 2020</w:t>
            </w:r>
            <w:r w:rsidR="003F4564" w:rsidRPr="00483D15">
              <w:rPr>
                <w:bCs/>
                <w:snapToGrid/>
                <w:color w:val="auto"/>
                <w:sz w:val="16"/>
                <w:szCs w:val="16"/>
              </w:rPr>
              <w:fldChar w:fldCharType="begin"/>
            </w:r>
            <w:r w:rsidR="004A675B">
              <w:rPr>
                <w:bCs/>
                <w:snapToGrid/>
                <w:color w:val="auto"/>
                <w:sz w:val="16"/>
                <w:szCs w:val="16"/>
              </w:rPr>
              <w:instrText xml:space="preserve"> ADDIN ZOTERO_ITEM CSL_CITATION {"citationID":"6q70DIoZ","properties":{"formattedCitation":"[46]","plainCitation":"[46]","noteIndex":0},"citationItems":[{"id":149,"uris":["http://zotero.org/users/local/L5HAWlIW/items/HSM2JN5A"],"itemData":{"id":149,"type":"article-journal","abstract":"Abstract Background Higher intraoperative driving pressures (ΔP) are associated with increased postoperative pulmonary complications (PPC). We hypothesised that dynamic adjustment of PEEP throughout abdominal surgery reduces ΔP, maintains positive end-expiratory transpulmonary pressures (Ptp_ee) and increases respiratory system static compliance (Crs) with PEEP levels that are variable between and within patients. Methods In a prospective multicentre pilot study, adults at moderate/high risk for PPC undergoing elective abdominal surgery were randomised to one of three ventilation protocols: (1) PEEP≤2 cm H2O, compared with periodic recruitment manoeuvres followed by individualised PEEP to either optimise respiratory system compliance (PEEPmaxCrs) or maintain positive end-expiratory transpulmonary pressure (PEEPPtp_ee). The composite primary outcome included intraoperative ΔP, Ptp_ee, Crs, and PEEP values (median (interquartile range) and coefficients of variation [CVPEEP]). Results Thirty-seven patients (48.6% female; age range: 47–73 yr) were assigned to control (PEEP≤2 cm H2O; n=13), PEEPmaxCrs (n=16), or PEEPPtp_ee (n=8) groups. The PEEPPtp_ee intervention could not be delivered in two patients. Subjects assigned to PEEPmaxCrs had lower ΔP (median8 cm H2O [7–10]), compared with the control group (12 cm H2O [10–15]; P=0.006). PEEPmaxCrs was also associated with higher Ptp_ee (2.0 cm H2O [-0.7 to 4.5] vs controls: -8.3 cm H2O [-13.0 to -4.0]; P≤0.001) and higher Crs (47.7 ml cm H2O [43.2–68.8] vs controls: 39.0 ml cm H2O [32.9–43.4]; P=0.009). Individualised PEEP (PEEPmaxCrs and PEEPPtp_ee combined) varied widely (median: 10 cm H2O [8-15]; CVPEEP=0.24 [0.14–0.35]), both between, and within, subjects throughout surgery. Conclusions This pilot study suggests that individualised PEEP management strategies applied during abdominal surgery reduce driving pressure, maintain positive Ptp_ee and increase static compliance. The wide range of PEEP observed suggests that an individualised approach is required to optimise respiratory mechanics during abdominal surgery. Clinical trial registration NCT02671721.","container-title":"British journal of anaesthesia","DOI":"10.1016/j.bja.2020.06.030","issue":"3","note":"publisher: Oxford University Press","page":"383-392","title":"Individualized PEEP to optimise respiratory mechanics during abdominal surgery: a pilot randomised controlled trial","volume":"125","author":[{"family":"Fernandez-Bustamante","given":"Ana; Sprung","suffix":"Juraj; Parker, Robert A.; Bartels, Karsten; Weingarten, Toby N.; Kosour, Carolina; Thompson, B. Taylor; Melo, Marcos F. Vidal"}],"issued":{"date-parts":[["2020"]]}}}],"schema":"https://github.com/citation-style-language/schema/raw/master/csl-citation.json"} </w:instrText>
            </w:r>
            <w:r w:rsidR="003F4564" w:rsidRPr="00483D15">
              <w:rPr>
                <w:bCs/>
                <w:snapToGrid/>
                <w:color w:val="auto"/>
                <w:sz w:val="16"/>
                <w:szCs w:val="16"/>
              </w:rPr>
              <w:fldChar w:fldCharType="separate"/>
            </w:r>
            <w:r w:rsidR="004A675B" w:rsidRPr="004A675B">
              <w:rPr>
                <w:sz w:val="16"/>
              </w:rPr>
              <w:t>[46]</w:t>
            </w:r>
            <w:r w:rsidR="003F4564" w:rsidRPr="00483D15">
              <w:rPr>
                <w:bCs/>
                <w:snapToGrid/>
                <w:color w:val="auto"/>
                <w:sz w:val="16"/>
                <w:szCs w:val="16"/>
              </w:rPr>
              <w:fldChar w:fldCharType="end"/>
            </w:r>
          </w:p>
        </w:tc>
        <w:tc>
          <w:tcPr>
            <w:tcW w:w="976" w:type="dxa"/>
            <w:tcBorders>
              <w:bottom w:val="single" w:sz="4" w:space="0" w:color="auto"/>
            </w:tcBorders>
            <w:vAlign w:val="center"/>
          </w:tcPr>
          <w:p w14:paraId="7C7D115C"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24/13</w:t>
            </w:r>
          </w:p>
        </w:tc>
        <w:tc>
          <w:tcPr>
            <w:tcW w:w="3348" w:type="dxa"/>
            <w:tcBorders>
              <w:bottom w:val="single" w:sz="4" w:space="0" w:color="auto"/>
            </w:tcBorders>
            <w:vAlign w:val="center"/>
          </w:tcPr>
          <w:p w14:paraId="650FF0DA" w14:textId="77777777" w:rsidR="000031F6" w:rsidRPr="00483D15" w:rsidRDefault="000031F6" w:rsidP="000031F6">
            <w:pPr>
              <w:pStyle w:val="MDPI42tablebody"/>
              <w:spacing w:line="240" w:lineRule="auto"/>
              <w:rPr>
                <w:bCs/>
                <w:snapToGrid/>
                <w:color w:val="auto"/>
                <w:sz w:val="16"/>
                <w:szCs w:val="16"/>
              </w:rPr>
            </w:pPr>
            <w:proofErr w:type="gramStart"/>
            <w:r w:rsidRPr="00483D15">
              <w:rPr>
                <w:bCs/>
                <w:snapToGrid/>
                <w:color w:val="auto"/>
                <w:sz w:val="16"/>
                <w:szCs w:val="16"/>
              </w:rPr>
              <w:t>laparoscopic</w:t>
            </w:r>
            <w:proofErr w:type="gramEnd"/>
            <w:r w:rsidRPr="00483D15">
              <w:rPr>
                <w:bCs/>
                <w:snapToGrid/>
                <w:color w:val="auto"/>
                <w:sz w:val="16"/>
                <w:szCs w:val="16"/>
              </w:rPr>
              <w:t xml:space="preserve"> and open-abdominal surgeries</w:t>
            </w:r>
          </w:p>
        </w:tc>
        <w:tc>
          <w:tcPr>
            <w:tcW w:w="1521" w:type="dxa"/>
            <w:tcBorders>
              <w:bottom w:val="single" w:sz="4" w:space="0" w:color="auto"/>
            </w:tcBorders>
            <w:vAlign w:val="center"/>
          </w:tcPr>
          <w:p w14:paraId="2F97D3E8" w14:textId="77777777" w:rsidR="000031F6" w:rsidRPr="00483D15" w:rsidRDefault="000031F6" w:rsidP="000031F6">
            <w:pPr>
              <w:pStyle w:val="MDPI42tablebody"/>
              <w:spacing w:line="240" w:lineRule="auto"/>
              <w:rPr>
                <w:bCs/>
                <w:snapToGrid/>
                <w:color w:val="auto"/>
                <w:sz w:val="16"/>
                <w:szCs w:val="16"/>
              </w:rPr>
            </w:pPr>
            <w:proofErr w:type="spellStart"/>
            <w:proofErr w:type="gramStart"/>
            <w:r w:rsidRPr="00483D15">
              <w:rPr>
                <w:bCs/>
                <w:snapToGrid/>
                <w:color w:val="auto"/>
                <w:sz w:val="16"/>
                <w:szCs w:val="16"/>
              </w:rPr>
              <w:t>Cstat,or</w:t>
            </w:r>
            <w:proofErr w:type="spellEnd"/>
            <w:proofErr w:type="gramEnd"/>
            <w:r w:rsidRPr="00483D15">
              <w:rPr>
                <w:bCs/>
                <w:snapToGrid/>
                <w:color w:val="auto"/>
                <w:sz w:val="16"/>
                <w:szCs w:val="16"/>
              </w:rPr>
              <w:t xml:space="preserve"> </w:t>
            </w:r>
            <w:proofErr w:type="spellStart"/>
            <w:r w:rsidRPr="00483D15">
              <w:rPr>
                <w:bCs/>
                <w:snapToGrid/>
                <w:color w:val="auto"/>
                <w:sz w:val="16"/>
                <w:szCs w:val="16"/>
              </w:rPr>
              <w:t>Ptp</w:t>
            </w:r>
            <w:proofErr w:type="spellEnd"/>
            <w:r w:rsidRPr="00483D15">
              <w:rPr>
                <w:bCs/>
                <w:snapToGrid/>
                <w:color w:val="auto"/>
                <w:sz w:val="16"/>
                <w:szCs w:val="16"/>
              </w:rPr>
              <w:t>-guided</w:t>
            </w:r>
          </w:p>
        </w:tc>
        <w:tc>
          <w:tcPr>
            <w:tcW w:w="959" w:type="dxa"/>
            <w:tcBorders>
              <w:bottom w:val="single" w:sz="4" w:space="0" w:color="auto"/>
            </w:tcBorders>
            <w:vAlign w:val="center"/>
          </w:tcPr>
          <w:p w14:paraId="6EA936A8"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&lt;/=2</w:t>
            </w:r>
          </w:p>
        </w:tc>
      </w:tr>
      <w:tr w:rsidR="00606986" w:rsidRPr="00483D15" w14:paraId="68DD2610" w14:textId="77777777" w:rsidTr="00E6266E">
        <w:trPr>
          <w:trHeight w:val="465"/>
          <w:jc w:val="center"/>
        </w:trPr>
        <w:tc>
          <w:tcPr>
            <w:tcW w:w="1701" w:type="dxa"/>
            <w:tcBorders>
              <w:bottom w:val="single" w:sz="4" w:space="0" w:color="auto"/>
            </w:tcBorders>
            <w:vAlign w:val="center"/>
          </w:tcPr>
          <w:p w14:paraId="3ACEE064" w14:textId="2084DE7B" w:rsidR="000031F6" w:rsidRPr="00483D15" w:rsidRDefault="000031F6" w:rsidP="000031F6">
            <w:pPr>
              <w:pStyle w:val="MDPI42tablebody"/>
              <w:spacing w:line="240" w:lineRule="auto"/>
              <w:rPr>
                <w:bCs/>
                <w:snapToGrid/>
                <w:color w:val="auto"/>
                <w:sz w:val="16"/>
                <w:szCs w:val="16"/>
              </w:rPr>
            </w:pPr>
            <w:proofErr w:type="spellStart"/>
            <w:r w:rsidRPr="00483D15">
              <w:rPr>
                <w:bCs/>
                <w:snapToGrid/>
                <w:color w:val="auto"/>
                <w:sz w:val="16"/>
                <w:szCs w:val="16"/>
              </w:rPr>
              <w:t>Ferrado</w:t>
            </w:r>
            <w:proofErr w:type="spellEnd"/>
            <w:r w:rsidRPr="00483D15">
              <w:rPr>
                <w:bCs/>
                <w:snapToGrid/>
                <w:color w:val="auto"/>
                <w:sz w:val="16"/>
                <w:szCs w:val="16"/>
              </w:rPr>
              <w:t xml:space="preserve"> et al., 2017</w:t>
            </w:r>
            <w:r w:rsidR="00E44678" w:rsidRPr="00483D15">
              <w:rPr>
                <w:bCs/>
                <w:snapToGrid/>
                <w:color w:val="auto"/>
                <w:sz w:val="16"/>
                <w:szCs w:val="16"/>
              </w:rPr>
              <w:fldChar w:fldCharType="begin"/>
            </w:r>
            <w:r w:rsidR="0046002D">
              <w:rPr>
                <w:bCs/>
                <w:snapToGrid/>
                <w:color w:val="auto"/>
                <w:sz w:val="16"/>
                <w:szCs w:val="16"/>
              </w:rPr>
              <w:instrText xml:space="preserve"> ADDIN ZOTERO_ITEM CSL_CITATION {"citationID":"wio6zYz2","properties":{"formattedCitation":"[50]","plainCitation":"[50]","noteIndex":0},"citationItems":[{"id":133,"uris":["http://zotero.org/users/local/L5HAWlIW/items/UXWZNMU2"],"itemData":{"id":133,"type":"article-journal","abstract":"Background: Low tidal volume (VT) during anesthesia minimizes lung injury but may be associated to a decrease in functional lung volume impairing lung mechanics and efficiency. Lung recruitment (RM ...","container-title":"PloS one","DOI":"10.1371/journal.pone.0177399","issue":"5","note":"publisher: Public Library of Science","page":"e0177399-NA","title":"Open lung approach versus standard protective strategies : Effects on driving pressure and ventilatory efficiency during anesthesia - A pilot, randomized controlled trial","volume":"12","author":[{"family":"Ferrando","given":"Carlos; Suarez-Sipmann","suffix":"Fernando; Tusman, Gerardo; León, Irene; Romero, Esther; Gracia, Estefania; Mugarra, Ana; Arocas, Blanca; Pozo, Natividad; Soro, Marina; Belda, Francisco Javier"}],"issued":{"date-parts":[["2017"]]}}}],"schema":"https://github.com/citation-style-language/schema/raw/master/csl-citation.json"} </w:instrText>
            </w:r>
            <w:r w:rsidR="00E44678" w:rsidRPr="00483D15">
              <w:rPr>
                <w:bCs/>
                <w:snapToGrid/>
                <w:color w:val="auto"/>
                <w:sz w:val="16"/>
                <w:szCs w:val="16"/>
              </w:rPr>
              <w:fldChar w:fldCharType="separate"/>
            </w:r>
            <w:r w:rsidR="0046002D" w:rsidRPr="0046002D">
              <w:rPr>
                <w:sz w:val="16"/>
              </w:rPr>
              <w:t>[50]</w:t>
            </w:r>
            <w:r w:rsidR="00E44678" w:rsidRPr="00483D15">
              <w:rPr>
                <w:bCs/>
                <w:snapToGrid/>
                <w:color w:val="auto"/>
                <w:sz w:val="16"/>
                <w:szCs w:val="16"/>
              </w:rPr>
              <w:fldChar w:fldCharType="end"/>
            </w:r>
          </w:p>
        </w:tc>
        <w:tc>
          <w:tcPr>
            <w:tcW w:w="976" w:type="dxa"/>
            <w:tcBorders>
              <w:bottom w:val="single" w:sz="4" w:space="0" w:color="auto"/>
            </w:tcBorders>
            <w:vAlign w:val="center"/>
          </w:tcPr>
          <w:p w14:paraId="2D833605"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18/18</w:t>
            </w:r>
          </w:p>
        </w:tc>
        <w:tc>
          <w:tcPr>
            <w:tcW w:w="3348" w:type="dxa"/>
            <w:tcBorders>
              <w:bottom w:val="single" w:sz="4" w:space="0" w:color="auto"/>
            </w:tcBorders>
            <w:vAlign w:val="center"/>
          </w:tcPr>
          <w:p w14:paraId="1DBC218E" w14:textId="77777777" w:rsidR="000031F6" w:rsidRPr="00483D15" w:rsidRDefault="000031F6" w:rsidP="000031F6">
            <w:pPr>
              <w:autoSpaceDE w:val="0"/>
              <w:autoSpaceDN w:val="0"/>
              <w:adjustRightInd w:val="0"/>
              <w:spacing w:line="240" w:lineRule="auto"/>
              <w:jc w:val="center"/>
              <w:rPr>
                <w:bCs/>
                <w:sz w:val="16"/>
                <w:szCs w:val="16"/>
                <w:lang w:val="en-US"/>
              </w:rPr>
            </w:pPr>
            <w:r w:rsidRPr="00483D15">
              <w:rPr>
                <w:rFonts w:eastAsia="Times New Roman"/>
                <w:bCs/>
                <w:sz w:val="16"/>
                <w:szCs w:val="16"/>
                <w:lang w:val="en-US" w:eastAsia="de-DE" w:bidi="en-US"/>
              </w:rPr>
              <w:t>open abdominal surgery</w:t>
            </w:r>
          </w:p>
        </w:tc>
        <w:tc>
          <w:tcPr>
            <w:tcW w:w="1521" w:type="dxa"/>
            <w:tcBorders>
              <w:bottom w:val="single" w:sz="4" w:space="0" w:color="auto"/>
            </w:tcBorders>
            <w:vAlign w:val="center"/>
          </w:tcPr>
          <w:p w14:paraId="555FFFDA"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Cdyn-guided</w:t>
            </w:r>
          </w:p>
        </w:tc>
        <w:tc>
          <w:tcPr>
            <w:tcW w:w="959" w:type="dxa"/>
            <w:tcBorders>
              <w:bottom w:val="single" w:sz="4" w:space="0" w:color="auto"/>
            </w:tcBorders>
            <w:vAlign w:val="center"/>
          </w:tcPr>
          <w:p w14:paraId="5EE74208"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5</w:t>
            </w:r>
          </w:p>
        </w:tc>
      </w:tr>
      <w:tr w:rsidR="00606986" w:rsidRPr="00483D15" w14:paraId="2C038155" w14:textId="77777777" w:rsidTr="00E6266E">
        <w:trPr>
          <w:trHeight w:val="465"/>
          <w:jc w:val="center"/>
        </w:trPr>
        <w:tc>
          <w:tcPr>
            <w:tcW w:w="1701" w:type="dxa"/>
            <w:tcBorders>
              <w:bottom w:val="single" w:sz="4" w:space="0" w:color="auto"/>
            </w:tcBorders>
            <w:vAlign w:val="center"/>
          </w:tcPr>
          <w:p w14:paraId="070A2901" w14:textId="3864162F" w:rsidR="000031F6" w:rsidRPr="00483D15" w:rsidRDefault="000031F6" w:rsidP="000031F6">
            <w:pPr>
              <w:pStyle w:val="MDPI42tablebody"/>
              <w:spacing w:line="240" w:lineRule="auto"/>
              <w:rPr>
                <w:bCs/>
                <w:snapToGrid/>
                <w:color w:val="auto"/>
                <w:sz w:val="16"/>
                <w:szCs w:val="16"/>
              </w:rPr>
            </w:pPr>
            <w:proofErr w:type="spellStart"/>
            <w:r w:rsidRPr="00483D15">
              <w:rPr>
                <w:bCs/>
                <w:snapToGrid/>
                <w:color w:val="auto"/>
                <w:sz w:val="16"/>
                <w:szCs w:val="16"/>
              </w:rPr>
              <w:t>Ferrado</w:t>
            </w:r>
            <w:proofErr w:type="spellEnd"/>
            <w:r w:rsidRPr="00483D15">
              <w:rPr>
                <w:bCs/>
                <w:snapToGrid/>
                <w:color w:val="auto"/>
                <w:sz w:val="16"/>
                <w:szCs w:val="16"/>
              </w:rPr>
              <w:t xml:space="preserve"> et al., 2018</w:t>
            </w:r>
            <w:r w:rsidR="00E44678" w:rsidRPr="00483D15">
              <w:rPr>
                <w:bCs/>
                <w:snapToGrid/>
                <w:color w:val="auto"/>
                <w:sz w:val="16"/>
                <w:szCs w:val="16"/>
              </w:rPr>
              <w:fldChar w:fldCharType="begin"/>
            </w:r>
            <w:r w:rsidR="006235F6">
              <w:rPr>
                <w:bCs/>
                <w:snapToGrid/>
                <w:color w:val="auto"/>
                <w:sz w:val="16"/>
                <w:szCs w:val="16"/>
              </w:rPr>
              <w:instrText xml:space="preserve"> ADDIN ZOTERO_ITEM CSL_CITATION {"citationID":"JQhthL7g","properties":{"formattedCitation":"[13]","plainCitation":"[13]","noteIndex":0},"citationItems":[{"id":178,"uris":["http://zotero.org/users/local/L5HAWlIW/items/BNXF362C"],"itemData":{"id":178,"type":"article-journal","abstract":"NA","container-title":"The Lancet. Respiratory medicine","DOI":"10.1016/s2213-2600(18)30024-9","issue":"3","note":"publisher: Elsevier Limited","page":"193-203","title":"Individualised perioperative open-lung approach versus standard protective ventilation in abdominal surgery (iPROVE): a randomised controlled trial.","volume":"6","author":[{"family":"Ferrando","given":"Carlos; Soro","suffix":"Marina; Unzueta, Carmen; Suarez-Sipmann, Fernando; Canet, Jaume; Librero, Julián; Pozo, Natividad; Peiró, Salvador; Llombart, Alicia; León, Irene; India, Inmaculada; Aldecoa, Cesar; Diaz-Cambronero, Oscar; Pestaña, David; Redondo, Francisco J; Garutti, Ignacio; Balust, Jaume; García, Jose Ignacio; Ibáñez, Maite; Granell, M.; Rodríguez, Aurelio; Gallego, Lucía; de la Matta, Manuel; González, Rafael; Brunelli, Andrea; García, Javier Contreras; Rovira, Lucas; Barrios, Francisco; Torres, Vicente; Hernández, Samuel; Gracia, Estefania; Giné, Marta; Garcia, Maria; Garcia, Nuria; Miguel, Lisset; Sánchez, Sergio; Piñeiro, Patricia; Pujol, Roger; García-del-Valle, Santiago; Valdivia, José; Hernández, María; Padrón, Oto; Colás, Ana; Puig, Jaume; Azparren, Gonzalo; Tusman, Gerardo; Villar, Jesús; Belda, Javier; Acosta, Jesús; Aguilar, Gerardo; Alberola, María José; Alcón, Amalia; Alonso, Jose M.; Alonso, María Dolores; Anaya, Rafael; Argente, María Pilar; Agilaga, Marta; Arocas, Blanca; Asensio, Ana; Ayas, Begoña; Ayuso, Mercedes; Balandrón, Victor; Del Barrio, Maria; Bejarano, Natalia; Benítez, Inmaculada; Cabrera, Sergio; Carbonell, José A.; Carramiñana, Albert; Carrizo, Juan; Cegarra, Virginia; Chamorro, Estefanía; Charco, Pedro; Cruz, Patricia; Daviu, Francisco; De Fez, Mario; de Miguel, Angeles; Del Río, Elena; Delgado, Carlos; Díaz, Ruben; Díaz, Susana; Díez, Fernando; Dosdá, Rosa; Duca, Alejandro; Etulain, Ma Justina; Fernández, Carmen; Franco, Tania; Fuentes, Isabel; Gallego, Clara; Gallego-Casilda, Alberto; Galve, Ana Isabel; Garcés, Cristina; García, Mercedes; Garcia, Pablo; Garrigues, Beatriz; Gilabert, Vicente; González, Domingo; Gutierrez, Andrea; Hernández, Inmaculada; Izquierdo, Ana; Jurado, Ana; Katime, Antonio; Llamazares, Eduardo; Lardies, Rosa; Lisbona, Cristina; López-Herrera, Daniel; López, Ramiro; Lozano, Angels; Lozano, Elena; Marcos, José M.; Martín, Silvia; Martínez, Nilda; Martínez, Rocío; Martínez-Pallí, Graciella; Mazzinari, Guido; Miñana, Amanda; Moral, Victoria; Moreno, Tania; Mugarra, Ana; Muñoz, Lorena; Navarro, José I.; Olmedilla, Luis; Olmedo, Jonathan; Ojeda, Nazario; Parera, Ana; Parra, María Asunción; Parrilla, Cristina; Pastor, Ernesto; Peña, Natalia; Pérez, Ana María; Pérez, Jose María; Piqueras, Laura; Rico-Feijoo, Jesús; Rodríguez, Rayco; Román, Javier Ignacio; Romero, Antonio; Romero, Carolina; Romero, Esther; Ruiz, Isabel; Sánchez, Ester; Sandín, Francisco; Serralta, Ferran; Socorro, Tania; Soriano, Laura; Tisner, Manuel; Valencia, Lucía; Valls, Paola; Vaquero, Laura; Varón, Viviana; Vila, María; Villazala, Rubén; Villena, Abigail; Zapatero, Sara"}],"issued":{"date-parts":[["2018"]]}}}],"schema":"https://github.com/citation-style-language/schema/raw/master/csl-citation.json"} </w:instrText>
            </w:r>
            <w:r w:rsidR="00E44678" w:rsidRPr="00483D15">
              <w:rPr>
                <w:bCs/>
                <w:snapToGrid/>
                <w:color w:val="auto"/>
                <w:sz w:val="16"/>
                <w:szCs w:val="16"/>
              </w:rPr>
              <w:fldChar w:fldCharType="separate"/>
            </w:r>
            <w:r w:rsidR="006235F6" w:rsidRPr="006235F6">
              <w:rPr>
                <w:sz w:val="16"/>
              </w:rPr>
              <w:t>[13]</w:t>
            </w:r>
            <w:r w:rsidR="00E44678" w:rsidRPr="00483D15">
              <w:rPr>
                <w:bCs/>
                <w:snapToGrid/>
                <w:color w:val="auto"/>
                <w:sz w:val="16"/>
                <w:szCs w:val="16"/>
              </w:rPr>
              <w:fldChar w:fldCharType="end"/>
            </w:r>
          </w:p>
        </w:tc>
        <w:tc>
          <w:tcPr>
            <w:tcW w:w="976" w:type="dxa"/>
            <w:tcBorders>
              <w:bottom w:val="single" w:sz="4" w:space="0" w:color="auto"/>
            </w:tcBorders>
            <w:vAlign w:val="center"/>
          </w:tcPr>
          <w:p w14:paraId="2BD3C223"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241/244</w:t>
            </w:r>
          </w:p>
        </w:tc>
        <w:tc>
          <w:tcPr>
            <w:tcW w:w="3348" w:type="dxa"/>
            <w:tcBorders>
              <w:bottom w:val="single" w:sz="4" w:space="0" w:color="auto"/>
            </w:tcBorders>
            <w:vAlign w:val="center"/>
          </w:tcPr>
          <w:p w14:paraId="75CB8A16" w14:textId="77777777" w:rsidR="000031F6" w:rsidRPr="00483D15" w:rsidRDefault="000031F6" w:rsidP="000031F6">
            <w:pPr>
              <w:pStyle w:val="MDPI42tablebody"/>
              <w:spacing w:line="240" w:lineRule="auto"/>
              <w:rPr>
                <w:bCs/>
                <w:snapToGrid/>
                <w:color w:val="auto"/>
                <w:sz w:val="16"/>
                <w:szCs w:val="16"/>
              </w:rPr>
            </w:pPr>
            <w:proofErr w:type="gramStart"/>
            <w:r w:rsidRPr="00483D15">
              <w:rPr>
                <w:bCs/>
                <w:snapToGrid/>
                <w:color w:val="auto"/>
                <w:sz w:val="16"/>
                <w:szCs w:val="16"/>
              </w:rPr>
              <w:t>laparoscopic</w:t>
            </w:r>
            <w:proofErr w:type="gramEnd"/>
            <w:r w:rsidRPr="00483D15">
              <w:rPr>
                <w:bCs/>
                <w:snapToGrid/>
                <w:color w:val="auto"/>
                <w:sz w:val="16"/>
                <w:szCs w:val="16"/>
              </w:rPr>
              <w:t xml:space="preserve"> and open-abdominal surgeries</w:t>
            </w:r>
          </w:p>
        </w:tc>
        <w:tc>
          <w:tcPr>
            <w:tcW w:w="1521" w:type="dxa"/>
            <w:tcBorders>
              <w:bottom w:val="single" w:sz="4" w:space="0" w:color="auto"/>
            </w:tcBorders>
            <w:vAlign w:val="center"/>
          </w:tcPr>
          <w:p w14:paraId="1C7D51E0"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Cdyn-guided</w:t>
            </w:r>
          </w:p>
        </w:tc>
        <w:tc>
          <w:tcPr>
            <w:tcW w:w="959" w:type="dxa"/>
            <w:tcBorders>
              <w:bottom w:val="single" w:sz="4" w:space="0" w:color="auto"/>
            </w:tcBorders>
            <w:vAlign w:val="center"/>
          </w:tcPr>
          <w:p w14:paraId="0EBAB6CD"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5</w:t>
            </w:r>
          </w:p>
        </w:tc>
      </w:tr>
      <w:tr w:rsidR="00606986" w:rsidRPr="00483D15" w14:paraId="5D2D9F37" w14:textId="77777777" w:rsidTr="00E6266E">
        <w:trPr>
          <w:trHeight w:val="465"/>
          <w:jc w:val="center"/>
        </w:trPr>
        <w:tc>
          <w:tcPr>
            <w:tcW w:w="1701" w:type="dxa"/>
            <w:tcBorders>
              <w:bottom w:val="single" w:sz="4" w:space="0" w:color="auto"/>
            </w:tcBorders>
            <w:vAlign w:val="center"/>
          </w:tcPr>
          <w:p w14:paraId="1D856FD3" w14:textId="13578032"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Gao et al., 2023</w:t>
            </w:r>
            <w:r w:rsidR="00E44678" w:rsidRPr="00483D15">
              <w:rPr>
                <w:bCs/>
                <w:snapToGrid/>
                <w:color w:val="auto"/>
                <w:sz w:val="16"/>
                <w:szCs w:val="16"/>
              </w:rPr>
              <w:fldChar w:fldCharType="begin"/>
            </w:r>
            <w:r w:rsidR="006469A5">
              <w:rPr>
                <w:bCs/>
                <w:snapToGrid/>
                <w:color w:val="auto"/>
                <w:sz w:val="16"/>
                <w:szCs w:val="16"/>
              </w:rPr>
              <w:instrText xml:space="preserve"> ADDIN ZOTERO_ITEM CSL_CITATION {"citationID":"b7mEc1v3","properties":{"formattedCitation":"[51]","plainCitation":"[51]","noteIndex":0},"citationItems":[{"id":1686,"uris":["http://zotero.org/users/local/L5HAWlIW/items/EFTPW42L"],"itemData":{"id":1686,"type":"article-journal","abstract":"BACKGROUND: Optimal intraoperative positive end‐expiratory pressure (PEEP) improves patient outcomes. Pulse oximetry has been used to determine the lung opening and closing pressures. Therefore, we hypothesized that intraoperative optimal PEEP obtained by titrating inspiratory oxygen fraction (FiO2) guided with pulse oximetry could improve perioperative oxygenation. METHODS: Forty‐six males undergoing elective robotic‐assisted laparoscopic prostatectomy were randomly assigned to either the optimal PEEP group (group O; n=23) or the fixed PEEP of 5 cmH2O group (group C; n=23). Optimal PEEP, defined as the PEEP with the lowest FiO2 or 0.21 to maintain SpO2 greater than or equal to 95%, was obtained in both groups after placing the patients in the Trendelenburg position and conducting intraperitoneal insufflation. Optimal PEEP was maintained for patients in group O. A PEEP of 5 cmH2O intraoperatively was maintained for patients in group C. Both groups were extubated in a semisitting position once the extubation criteria were met. The primary outcome was the arterial oxygen partial pressure (PaO2) divided by the inspiratory oxygen fraction (FiO2) prior to extubation. The secondary outcome was the incidence of postoperative hypoxemia (SpO2 less than 92% on room air after extubation) in the postanesthesia care unit (PACU). RESULTS: The median optimal PEEP was 16 cmH2O (IQR 12‐18). The PaO2/FiO2 prior to extubation was significantly higher in group O than in group C (77.0±4.9 kPa vs. 60.6±5.9 kPa; P=0.04). PaO2/FiO2 was also significantly higher in group O 30 minutes after extubation (57.6±1.9 vs. 46.6±1.8 kPa; P=0.01). The incidence of hypoxemia on room air in the PACU was significantly lower in group O than in group C (4.3% vs. 30.4%; P=0.02). CONCLUSIONS: Intraoperative optimal PEEP can be achieved by a titration of FiO2 guided with SpO2. Maintaining intraoperative optimal PEEP improves intraoperative oxygenation and reduces the incidence of postoperative hypoxemia. TRIAL REGISTRATION: The study was prospectively registered on September 10, 2021, in the Chinese Clinical Trial Registry (identifier: ChiCTR2100051010).","archive_location":"CN-02537259","container-title":"Annals of translational medicine","DOI":"10.21037/atm-22-4357","issue":"5","journalAbbreviation":"Annals of translational medicine","page":"203","title":"Optimal positive end-expiratory pressure obtained with titration of a fraction of inspiratory oxygen: a randomized controlled clinical trial","volume":"11","author":[{"family":"Gao","given":"L"},{"family":"Yang","given":"L"},{"family":"Pan","given":"L"},{"family":"Cui","given":"Y"},{"family":"Zhang","given":"J"}],"issued":{"date-parts":[["2023"]]}}}],"schema":"https://github.com/citation-style-language/schema/raw/master/csl-citation.json"} </w:instrText>
            </w:r>
            <w:r w:rsidR="00E44678" w:rsidRPr="00483D15">
              <w:rPr>
                <w:bCs/>
                <w:snapToGrid/>
                <w:color w:val="auto"/>
                <w:sz w:val="16"/>
                <w:szCs w:val="16"/>
              </w:rPr>
              <w:fldChar w:fldCharType="separate"/>
            </w:r>
            <w:r w:rsidR="006469A5" w:rsidRPr="006469A5">
              <w:rPr>
                <w:sz w:val="16"/>
              </w:rPr>
              <w:t>[51]</w:t>
            </w:r>
            <w:r w:rsidR="00E44678" w:rsidRPr="00483D15">
              <w:rPr>
                <w:bCs/>
                <w:snapToGrid/>
                <w:color w:val="auto"/>
                <w:sz w:val="16"/>
                <w:szCs w:val="16"/>
              </w:rPr>
              <w:fldChar w:fldCharType="end"/>
            </w:r>
          </w:p>
        </w:tc>
        <w:tc>
          <w:tcPr>
            <w:tcW w:w="976" w:type="dxa"/>
            <w:tcBorders>
              <w:bottom w:val="single" w:sz="4" w:space="0" w:color="auto"/>
            </w:tcBorders>
            <w:vAlign w:val="center"/>
          </w:tcPr>
          <w:p w14:paraId="231FB23E"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23/23</w:t>
            </w:r>
          </w:p>
        </w:tc>
        <w:tc>
          <w:tcPr>
            <w:tcW w:w="3348" w:type="dxa"/>
            <w:tcBorders>
              <w:bottom w:val="single" w:sz="4" w:space="0" w:color="auto"/>
            </w:tcBorders>
            <w:vAlign w:val="center"/>
          </w:tcPr>
          <w:p w14:paraId="1205BE08"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robotic-assisted laparoscopic prostatectomy</w:t>
            </w:r>
          </w:p>
        </w:tc>
        <w:tc>
          <w:tcPr>
            <w:tcW w:w="1521" w:type="dxa"/>
            <w:tcBorders>
              <w:bottom w:val="single" w:sz="4" w:space="0" w:color="auto"/>
            </w:tcBorders>
            <w:vAlign w:val="center"/>
          </w:tcPr>
          <w:p w14:paraId="0157F3A7"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FiO</w:t>
            </w:r>
            <w:r w:rsidRPr="00483D15">
              <w:rPr>
                <w:bCs/>
                <w:snapToGrid/>
                <w:color w:val="auto"/>
                <w:sz w:val="16"/>
                <w:szCs w:val="16"/>
                <w:vertAlign w:val="subscript"/>
              </w:rPr>
              <w:t>2</w:t>
            </w:r>
            <w:r w:rsidRPr="00483D15">
              <w:rPr>
                <w:bCs/>
                <w:snapToGrid/>
                <w:color w:val="auto"/>
                <w:sz w:val="16"/>
                <w:szCs w:val="16"/>
              </w:rPr>
              <w:t>-guided</w:t>
            </w:r>
          </w:p>
        </w:tc>
        <w:tc>
          <w:tcPr>
            <w:tcW w:w="959" w:type="dxa"/>
            <w:tcBorders>
              <w:bottom w:val="single" w:sz="4" w:space="0" w:color="auto"/>
            </w:tcBorders>
            <w:vAlign w:val="center"/>
          </w:tcPr>
          <w:p w14:paraId="262B10BB"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5</w:t>
            </w:r>
          </w:p>
        </w:tc>
      </w:tr>
      <w:tr w:rsidR="00606986" w:rsidRPr="00483D15" w14:paraId="29AFBA45" w14:textId="77777777" w:rsidTr="00E6266E">
        <w:trPr>
          <w:trHeight w:val="465"/>
          <w:jc w:val="center"/>
        </w:trPr>
        <w:tc>
          <w:tcPr>
            <w:tcW w:w="1701" w:type="dxa"/>
            <w:tcBorders>
              <w:top w:val="single" w:sz="4" w:space="0" w:color="auto"/>
              <w:bottom w:val="single" w:sz="4" w:space="0" w:color="auto"/>
            </w:tcBorders>
            <w:vAlign w:val="center"/>
          </w:tcPr>
          <w:p w14:paraId="3A41D8AF" w14:textId="485D4E9C" w:rsidR="000031F6" w:rsidRPr="00483D15" w:rsidRDefault="000031F6" w:rsidP="000031F6">
            <w:pPr>
              <w:pStyle w:val="MDPI42tablebody"/>
              <w:spacing w:line="240" w:lineRule="auto"/>
              <w:rPr>
                <w:bCs/>
                <w:snapToGrid/>
                <w:color w:val="auto"/>
                <w:sz w:val="16"/>
                <w:szCs w:val="16"/>
              </w:rPr>
            </w:pPr>
            <w:proofErr w:type="spellStart"/>
            <w:r w:rsidRPr="00483D15">
              <w:rPr>
                <w:bCs/>
                <w:snapToGrid/>
                <w:color w:val="auto"/>
                <w:sz w:val="16"/>
                <w:szCs w:val="16"/>
              </w:rPr>
              <w:t>Girrbach</w:t>
            </w:r>
            <w:proofErr w:type="spellEnd"/>
            <w:r w:rsidRPr="00483D15">
              <w:rPr>
                <w:bCs/>
                <w:snapToGrid/>
                <w:color w:val="auto"/>
                <w:sz w:val="16"/>
                <w:szCs w:val="16"/>
              </w:rPr>
              <w:t xml:space="preserve"> et al., 2020</w:t>
            </w:r>
            <w:r w:rsidR="00E44678" w:rsidRPr="00483D15">
              <w:rPr>
                <w:bCs/>
                <w:snapToGrid/>
                <w:color w:val="auto"/>
                <w:sz w:val="16"/>
                <w:szCs w:val="16"/>
              </w:rPr>
              <w:fldChar w:fldCharType="begin"/>
            </w:r>
            <w:r w:rsidR="00CA32F9">
              <w:rPr>
                <w:bCs/>
                <w:snapToGrid/>
                <w:color w:val="auto"/>
                <w:sz w:val="16"/>
                <w:szCs w:val="16"/>
              </w:rPr>
              <w:instrText xml:space="preserve"> ADDIN ZOTERO_ITEM CSL_CITATION {"citationID":"OGFQziGg","properties":{"formattedCitation":"[51]","plainCitation":"[51]","noteIndex":0},"citationItems":[{"id":1686,"uris":["http://zotero.org/users/local/L5HAWlIW/items/EFTPW42L"],"itemData":{"id":1686,"type":"article-journal","abstract":"BACKGROUND: Optimal intraoperative positive end‐expiratory pressure (PEEP) improves patient outcomes. Pulse oximetry has been used to determine the lung opening and closing pressures. Therefore, we hypothesized that intraoperative optimal PEEP obtained by titrating inspiratory oxygen fraction (FiO2) guided with pulse oximetry could improve perioperative oxygenation. METHODS: Forty‐six males undergoing elective robotic‐assisted laparoscopic prostatectomy were randomly assigned to either the optimal PEEP group (group O; n=23) or the fixed PEEP of 5 cmH2O group (group C; n=23). Optimal PEEP, defined as the PEEP with the lowest FiO2 or 0.21 to maintain SpO2 greater than or equal to 95%, was obtained in both groups after placing the patients in the Trendelenburg position and conducting intraperitoneal insufflation. Optimal PEEP was maintained for patients in group O. A PEEP of 5 cmH2O intraoperatively was maintained for patients in group C. Both groups were extubated in a semisitting position once the extubation criteria were met. The primary outcome was the arterial oxygen partial pressure (PaO2) divided by the inspiratory oxygen fraction (FiO2) prior to extubation. The secondary outcome was the incidence of postoperative hypoxemia (SpO2 less than 92% on room air after extubation) in the postanesthesia care unit (PACU). RESULTS: The median optimal PEEP was 16 cmH2O (IQR 12‐18). The PaO2/FiO2 prior to extubation was significantly higher in group O than in group C (77.0±4.9 kPa vs. 60.6±5.9 kPa; P=0.04). PaO2/FiO2 was also significantly higher in group O 30 minutes after extubation (57.6±1.9 vs. 46.6±1.8 kPa; P=0.01). The incidence of hypoxemia on room air in the PACU was significantly lower in group O than in group C (4.3% vs. 30.4%; P=0.02). CONCLUSIONS: Intraoperative optimal PEEP can be achieved by a titration of FiO2 guided with SpO2. Maintaining intraoperative optimal PEEP improves intraoperative oxygenation and reduces the incidence of postoperative hypoxemia. TRIAL REGISTRATION: The study was prospectively registered on September 10, 2021, in the Chinese Clinical Trial Registry (identifier: ChiCTR2100051010).","archive_location":"CN-02537259","container-title":"Annals of translational medicine","DOI":"10.21037/atm-22-4357","issue":"5","journalAbbreviation":"Annals of translational medicine","page":"203","title":"Optimal positive end-expiratory pressure obtained with titration of a fraction of inspiratory oxygen: a randomized controlled clinical trial","volume":"11","author":[{"family":"Gao","given":"L"},{"family":"Yang","given":"L"},{"family":"Pan","given":"L"},{"family":"Cui","given":"Y"},{"family":"Zhang","given":"J"}],"issued":{"date-parts":[["2023"]]}}}],"schema":"https://github.com/citation-style-language/schema/raw/master/csl-citation.json"} </w:instrText>
            </w:r>
            <w:r w:rsidR="00E44678" w:rsidRPr="00483D15">
              <w:rPr>
                <w:bCs/>
                <w:snapToGrid/>
                <w:color w:val="auto"/>
                <w:sz w:val="16"/>
                <w:szCs w:val="16"/>
              </w:rPr>
              <w:fldChar w:fldCharType="separate"/>
            </w:r>
            <w:r w:rsidR="00CA32F9" w:rsidRPr="00CA32F9">
              <w:rPr>
                <w:sz w:val="16"/>
              </w:rPr>
              <w:t>[51]</w:t>
            </w:r>
            <w:r w:rsidR="00E44678" w:rsidRPr="00483D15">
              <w:rPr>
                <w:bCs/>
                <w:snapToGrid/>
                <w:color w:val="auto"/>
                <w:sz w:val="16"/>
                <w:szCs w:val="16"/>
              </w:rPr>
              <w:fldChar w:fldCharType="end"/>
            </w:r>
          </w:p>
        </w:tc>
        <w:tc>
          <w:tcPr>
            <w:tcW w:w="976" w:type="dxa"/>
            <w:tcBorders>
              <w:top w:val="single" w:sz="4" w:space="0" w:color="auto"/>
              <w:bottom w:val="single" w:sz="4" w:space="0" w:color="auto"/>
            </w:tcBorders>
            <w:vAlign w:val="center"/>
          </w:tcPr>
          <w:p w14:paraId="0B228FB0"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20/20</w:t>
            </w:r>
          </w:p>
        </w:tc>
        <w:tc>
          <w:tcPr>
            <w:tcW w:w="3348" w:type="dxa"/>
            <w:tcBorders>
              <w:top w:val="single" w:sz="4" w:space="0" w:color="auto"/>
              <w:bottom w:val="single" w:sz="4" w:space="0" w:color="auto"/>
            </w:tcBorders>
            <w:vAlign w:val="center"/>
          </w:tcPr>
          <w:p w14:paraId="47EF0BCF"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robot-assisted laparoscopic radical prostatectomy</w:t>
            </w:r>
          </w:p>
        </w:tc>
        <w:tc>
          <w:tcPr>
            <w:tcW w:w="1521" w:type="dxa"/>
            <w:tcBorders>
              <w:top w:val="single" w:sz="4" w:space="0" w:color="auto"/>
              <w:bottom w:val="single" w:sz="4" w:space="0" w:color="auto"/>
            </w:tcBorders>
            <w:vAlign w:val="center"/>
          </w:tcPr>
          <w:p w14:paraId="38A4D8DE"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EIT-guided</w:t>
            </w:r>
          </w:p>
        </w:tc>
        <w:tc>
          <w:tcPr>
            <w:tcW w:w="959" w:type="dxa"/>
            <w:tcBorders>
              <w:top w:val="single" w:sz="4" w:space="0" w:color="auto"/>
              <w:bottom w:val="single" w:sz="4" w:space="0" w:color="auto"/>
            </w:tcBorders>
            <w:vAlign w:val="center"/>
          </w:tcPr>
          <w:p w14:paraId="2720A03B"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5</w:t>
            </w:r>
          </w:p>
        </w:tc>
      </w:tr>
      <w:tr w:rsidR="00606986" w:rsidRPr="00483D15" w14:paraId="7F82E8A9" w14:textId="77777777" w:rsidTr="00E6266E">
        <w:trPr>
          <w:trHeight w:val="465"/>
          <w:jc w:val="center"/>
        </w:trPr>
        <w:tc>
          <w:tcPr>
            <w:tcW w:w="1701" w:type="dxa"/>
            <w:tcBorders>
              <w:top w:val="single" w:sz="4" w:space="0" w:color="auto"/>
              <w:bottom w:val="single" w:sz="4" w:space="0" w:color="auto"/>
            </w:tcBorders>
            <w:vAlign w:val="center"/>
          </w:tcPr>
          <w:p w14:paraId="5589C3CE" w14:textId="516565A5"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Kim et al., 2023</w:t>
            </w:r>
            <w:r w:rsidR="002D4875" w:rsidRPr="00483D15">
              <w:rPr>
                <w:bCs/>
                <w:snapToGrid/>
                <w:color w:val="auto"/>
                <w:sz w:val="16"/>
                <w:szCs w:val="16"/>
              </w:rPr>
              <w:fldChar w:fldCharType="begin"/>
            </w:r>
            <w:r w:rsidR="00E24B33">
              <w:rPr>
                <w:bCs/>
                <w:snapToGrid/>
                <w:color w:val="auto"/>
                <w:sz w:val="16"/>
                <w:szCs w:val="16"/>
              </w:rPr>
              <w:instrText xml:space="preserve"> ADDIN ZOTERO_ITEM CSL_CITATION {"citationID":"OpZtnrrs","properties":{"formattedCitation":"[52]","plainCitation":"[52]","noteIndex":0},"citationItems":[{"id":1570,"uris":["http://zotero.org/users/local/L5HAWlIW/items/V3SBX9HI"],"itemData":{"id":1570,"type":"article-journal","container-title":"British Journal of Anaesthesia","DOI":"10.1016/j.bja.2023.08.007","ISSN":"00070912","issue":"5","journalAbbreviation":"British Journal of Anaesthesia","language":"en","page":"955-965","source":"DOI.org (Crossref)","title":"Effect of driving pressure-guided positive end-expiratory pressure on postoperative pulmonary complications in patients undergoing laparoscopic or robotic surgery: a randomised controlled trial","title-short":"Effect of driving pressure-guided positive end-expiratory pressure on postoperative pulmonary complications in patients undergoing laparoscopic or robotic surgery","volume":"131","author":[{"family":"Kim","given":"Yoon Jung"},{"family":"Kim","given":"Bo Rim"},{"family":"Kim","given":"Hee Won"},{"family":"Jung","given":"Ji-Yoon"},{"family":"Cho","given":"Hye-Yeon"},{"family":"Seo","given":"Jeoung-Hwa"},{"family":"Kim","given":"Won Ho"},{"family":"Kim","given":"Hee-Soo"},{"family":"Hwangbo","given":"Suhyun"},{"family":"Yoon","given":"Hyun-Kyu"}],"issued":{"date-parts":[["2023",11]]}}}],"schema":"https://github.com/citation-style-language/schema/raw/master/csl-citation.json"} </w:instrText>
            </w:r>
            <w:r w:rsidR="002D4875" w:rsidRPr="00483D15">
              <w:rPr>
                <w:bCs/>
                <w:snapToGrid/>
                <w:color w:val="auto"/>
                <w:sz w:val="16"/>
                <w:szCs w:val="16"/>
              </w:rPr>
              <w:fldChar w:fldCharType="separate"/>
            </w:r>
            <w:r w:rsidR="00E24B33" w:rsidRPr="00E24B33">
              <w:rPr>
                <w:sz w:val="16"/>
              </w:rPr>
              <w:t>[52]</w:t>
            </w:r>
            <w:r w:rsidR="002D4875" w:rsidRPr="00483D15">
              <w:rPr>
                <w:bCs/>
                <w:snapToGrid/>
                <w:color w:val="auto"/>
                <w:sz w:val="16"/>
                <w:szCs w:val="16"/>
              </w:rPr>
              <w:fldChar w:fldCharType="end"/>
            </w:r>
          </w:p>
        </w:tc>
        <w:tc>
          <w:tcPr>
            <w:tcW w:w="976" w:type="dxa"/>
            <w:tcBorders>
              <w:top w:val="single" w:sz="4" w:space="0" w:color="auto"/>
              <w:bottom w:val="single" w:sz="4" w:space="0" w:color="auto"/>
            </w:tcBorders>
            <w:vAlign w:val="center"/>
          </w:tcPr>
          <w:p w14:paraId="21298E67"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178/185</w:t>
            </w:r>
          </w:p>
        </w:tc>
        <w:tc>
          <w:tcPr>
            <w:tcW w:w="3348" w:type="dxa"/>
            <w:tcBorders>
              <w:top w:val="single" w:sz="4" w:space="0" w:color="auto"/>
              <w:bottom w:val="single" w:sz="4" w:space="0" w:color="auto"/>
            </w:tcBorders>
            <w:vAlign w:val="center"/>
          </w:tcPr>
          <w:p w14:paraId="5248D3B8"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laparoscopic/robotic abdominal surgery</w:t>
            </w:r>
          </w:p>
        </w:tc>
        <w:tc>
          <w:tcPr>
            <w:tcW w:w="1521" w:type="dxa"/>
            <w:tcBorders>
              <w:top w:val="single" w:sz="4" w:space="0" w:color="auto"/>
              <w:bottom w:val="single" w:sz="4" w:space="0" w:color="auto"/>
            </w:tcBorders>
            <w:vAlign w:val="center"/>
          </w:tcPr>
          <w:p w14:paraId="4EEF0C90" w14:textId="77777777" w:rsidR="000031F6" w:rsidRPr="00483D15" w:rsidRDefault="000031F6" w:rsidP="000031F6">
            <w:pPr>
              <w:pStyle w:val="MDPI42tablebody"/>
              <w:spacing w:line="240" w:lineRule="auto"/>
              <w:rPr>
                <w:bCs/>
                <w:snapToGrid/>
                <w:color w:val="auto"/>
                <w:sz w:val="16"/>
                <w:szCs w:val="16"/>
              </w:rPr>
            </w:pPr>
            <w:proofErr w:type="spellStart"/>
            <w:r w:rsidRPr="00483D15">
              <w:rPr>
                <w:bCs/>
                <w:snapToGrid/>
                <w:color w:val="auto"/>
                <w:sz w:val="16"/>
                <w:szCs w:val="16"/>
              </w:rPr>
              <w:t>dP</w:t>
            </w:r>
            <w:proofErr w:type="spellEnd"/>
            <w:r w:rsidRPr="00483D15">
              <w:rPr>
                <w:bCs/>
                <w:snapToGrid/>
                <w:color w:val="auto"/>
                <w:sz w:val="16"/>
                <w:szCs w:val="16"/>
              </w:rPr>
              <w:t>-guided</w:t>
            </w:r>
          </w:p>
        </w:tc>
        <w:tc>
          <w:tcPr>
            <w:tcW w:w="959" w:type="dxa"/>
            <w:tcBorders>
              <w:top w:val="single" w:sz="4" w:space="0" w:color="auto"/>
              <w:bottom w:val="single" w:sz="4" w:space="0" w:color="auto"/>
            </w:tcBorders>
            <w:vAlign w:val="center"/>
          </w:tcPr>
          <w:p w14:paraId="43C1DE88"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5</w:t>
            </w:r>
          </w:p>
        </w:tc>
      </w:tr>
      <w:tr w:rsidR="00606986" w:rsidRPr="00483D15" w14:paraId="5372D65B" w14:textId="77777777" w:rsidTr="00E6266E">
        <w:trPr>
          <w:trHeight w:val="465"/>
          <w:jc w:val="center"/>
        </w:trPr>
        <w:tc>
          <w:tcPr>
            <w:tcW w:w="1701" w:type="dxa"/>
            <w:tcBorders>
              <w:top w:val="single" w:sz="4" w:space="0" w:color="auto"/>
              <w:bottom w:val="single" w:sz="4" w:space="0" w:color="auto"/>
            </w:tcBorders>
            <w:vAlign w:val="center"/>
          </w:tcPr>
          <w:p w14:paraId="5C2492C1" w14:textId="6CDF6C45"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Li et al., 2021</w:t>
            </w:r>
            <w:r w:rsidR="002D4875" w:rsidRPr="00483D15">
              <w:rPr>
                <w:bCs/>
                <w:snapToGrid/>
                <w:color w:val="auto"/>
                <w:sz w:val="16"/>
                <w:szCs w:val="16"/>
              </w:rPr>
              <w:fldChar w:fldCharType="begin"/>
            </w:r>
            <w:r w:rsidR="00FE4ABA">
              <w:rPr>
                <w:bCs/>
                <w:snapToGrid/>
                <w:color w:val="auto"/>
                <w:sz w:val="16"/>
                <w:szCs w:val="16"/>
              </w:rPr>
              <w:instrText xml:space="preserve"> ADDIN ZOTERO_ITEM CSL_CITATION {"citationID":"xMkR5Qun","properties":{"formattedCitation":"[53]","plainCitation":"[53]","noteIndex":0},"citationItems":[{"id":1518,"uris":["http://zotero.org/users/local/L5HAWlIW/items/RBGIT4XK"],"itemData":{"id":1518,"type":"article-journal","abstract":"Abstract\n            \n              The study aimed to investigate the efficacy of PCV-VG combined with individual PEEP during laparoscopic surgery in the Trendelenburg position. 120 patients were randomly divided into four groups: VF group (VCV plus 5cmH\n              2\n              O PEEP), PF group (PCV-VG plus 5cmH\n              2\n              O PEEP), VI group (VCV plus individual PEEP), and PI group (PCV-VG plus individual PEEP).\n              P\n              mean\n              ,\n              P\n              peak\n              , Cdyn, PaO\n              2\n              /FiO\n              2\n              ,\n              V\n              D\n              /V\n              T\n              , A-aDO\n              2\n              and Qs/Qt were recorded at T\n              1\n              (15 min after the induction of anesthesia), T\n              2\n              (60 min after pneumoperitoneum), and T\n              3\n              (5 min at the end of anesthesia). The CC16 and IL-6 were measured at T\n              1\n              and T\n              3\n              . Our results showed that the\n              P\n              mean\n              was increased in VI and PI group, and the\n              P\n              peak\n              was lower in PI group at T\n              2\n              . At T\n              2\n              and T\n              3\n              , the Cdyn of PI group was higher than that in other groups, and PaO\n              2\n              /FiO\n              2\n              was increased in PI group compared with VF and VI group. At T\n              2\n              and T\n              3\n              , A-aDO\n              2\n              of PI and PF group was reduced than that in other groups. The Qs/Qt was decreased in PI group compared with VF and VI group at T\n              2\n              and T\n              3\n              . At T\n              2\n              ,\n              V\n              D\n              /V\n              T\n              in PI group was decreased than other groups. At T\n              3\n              , the concentration of CC16 in PI group was lower compared with other groups, and IL-6 level of PI group was decreased than that in VF and VI group. In conclusion, the patients who underwent laparoscopic surgery, PCV-VG combined with individual PEEP produced favorable lung mechanics and oxygenation, and thus reducing inflammatory response and lung injury.\n            \n            \n              Clinical Trial registry\n              : chictr.org. identifier: ChiCTR-2100044928","container-title":"Journal of Clinical Monitoring and Computing","DOI":"10.1007/s10877-021-00750-9","ISSN":"1387-1307, 1573-2614","issue":"4","journalAbbreviation":"J Clin Monit Comput","language":"en","page":"1155-1164","source":"DOI.org (Crossref)","title":"Effect of pressure-controlled ventilation-volume guaranteed mode combined with individualized positive end-expiratory pressure on respiratory mechanics, oxygenation and lung injury in patients undergoing laparoscopic surgery in Trendelenburg position","volume":"36","author":[{"family":"Li","given":"Jianli"},{"family":"Ma","given":"Saixian"},{"family":"Chang","given":"Xiujie"},{"family":"Ju","given":"Songxu"},{"family":"Zhang","given":"Meng"},{"family":"Yu","given":"Dongdong"},{"family":"Rong","given":"Junfang"}],"issued":{"date-parts":[["2022",8]]}}}],"schema":"https://github.com/citation-style-language/schema/raw/master/csl-citation.json"} </w:instrText>
            </w:r>
            <w:r w:rsidR="002D4875" w:rsidRPr="00483D15">
              <w:rPr>
                <w:bCs/>
                <w:snapToGrid/>
                <w:color w:val="auto"/>
                <w:sz w:val="16"/>
                <w:szCs w:val="16"/>
              </w:rPr>
              <w:fldChar w:fldCharType="separate"/>
            </w:r>
            <w:r w:rsidR="00FE4ABA" w:rsidRPr="00FE4ABA">
              <w:rPr>
                <w:sz w:val="16"/>
              </w:rPr>
              <w:t>[53]</w:t>
            </w:r>
            <w:r w:rsidR="002D4875" w:rsidRPr="00483D15">
              <w:rPr>
                <w:bCs/>
                <w:snapToGrid/>
                <w:color w:val="auto"/>
                <w:sz w:val="16"/>
                <w:szCs w:val="16"/>
              </w:rPr>
              <w:fldChar w:fldCharType="end"/>
            </w:r>
          </w:p>
        </w:tc>
        <w:tc>
          <w:tcPr>
            <w:tcW w:w="976" w:type="dxa"/>
            <w:tcBorders>
              <w:top w:val="single" w:sz="4" w:space="0" w:color="auto"/>
              <w:bottom w:val="single" w:sz="4" w:space="0" w:color="auto"/>
            </w:tcBorders>
            <w:vAlign w:val="center"/>
          </w:tcPr>
          <w:p w14:paraId="021EDD98"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60/60</w:t>
            </w:r>
          </w:p>
        </w:tc>
        <w:tc>
          <w:tcPr>
            <w:tcW w:w="3348" w:type="dxa"/>
            <w:tcBorders>
              <w:top w:val="single" w:sz="4" w:space="0" w:color="auto"/>
              <w:bottom w:val="single" w:sz="4" w:space="0" w:color="auto"/>
            </w:tcBorders>
            <w:vAlign w:val="center"/>
          </w:tcPr>
          <w:p w14:paraId="7527BDC6"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laparoscopic surgery</w:t>
            </w:r>
          </w:p>
        </w:tc>
        <w:tc>
          <w:tcPr>
            <w:tcW w:w="1521" w:type="dxa"/>
            <w:tcBorders>
              <w:top w:val="single" w:sz="4" w:space="0" w:color="auto"/>
              <w:bottom w:val="single" w:sz="4" w:space="0" w:color="auto"/>
            </w:tcBorders>
            <w:vAlign w:val="center"/>
          </w:tcPr>
          <w:p w14:paraId="10A83F8F"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Cdyn-guided</w:t>
            </w:r>
          </w:p>
        </w:tc>
        <w:tc>
          <w:tcPr>
            <w:tcW w:w="959" w:type="dxa"/>
            <w:tcBorders>
              <w:top w:val="single" w:sz="4" w:space="0" w:color="auto"/>
              <w:bottom w:val="single" w:sz="4" w:space="0" w:color="auto"/>
            </w:tcBorders>
            <w:vAlign w:val="center"/>
          </w:tcPr>
          <w:p w14:paraId="219B0746"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5</w:t>
            </w:r>
          </w:p>
        </w:tc>
      </w:tr>
      <w:tr w:rsidR="00606986" w:rsidRPr="00483D15" w14:paraId="487178D5" w14:textId="77777777" w:rsidTr="00E6266E">
        <w:trPr>
          <w:trHeight w:val="465"/>
          <w:jc w:val="center"/>
        </w:trPr>
        <w:tc>
          <w:tcPr>
            <w:tcW w:w="1701" w:type="dxa"/>
            <w:tcBorders>
              <w:top w:val="single" w:sz="4" w:space="0" w:color="auto"/>
              <w:bottom w:val="single" w:sz="4" w:space="0" w:color="auto"/>
            </w:tcBorders>
            <w:vAlign w:val="center"/>
          </w:tcPr>
          <w:p w14:paraId="7796374C" w14:textId="69DCE351"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Li et al., 2023</w:t>
            </w:r>
            <w:r w:rsidR="002D4875" w:rsidRPr="00483D15">
              <w:rPr>
                <w:bCs/>
                <w:snapToGrid/>
                <w:color w:val="auto"/>
                <w:sz w:val="16"/>
                <w:szCs w:val="16"/>
              </w:rPr>
              <w:fldChar w:fldCharType="begin"/>
            </w:r>
            <w:r w:rsidR="00D41538">
              <w:rPr>
                <w:bCs/>
                <w:snapToGrid/>
                <w:color w:val="auto"/>
                <w:sz w:val="16"/>
                <w:szCs w:val="16"/>
              </w:rPr>
              <w:instrText xml:space="preserve"> ADDIN ZOTERO_ITEM CSL_CITATION {"citationID":"PHEA4Byn","properties":{"formattedCitation":"[54]","plainCitation":"[54]","noteIndex":0},"citationItems":[{"id":1577,"uris":["http://zotero.org/users/local/L5HAWlIW/items/2Q6YJM6C"],"itemData":{"id":1577,"type":"article-journal","abstract":"BACKGROUND: Individualized positive end‐expiratory pressure (PEEP) guided by dynamic compliance improves oxygenation and reduces postoperative atelectasis in nonobese patients. The authors hypothesized that dynamic compliance‐guided PEEP could also reduce postoperative atelectasis in patients undergoing bariatric surgery. METHODS: Patients scheduled to undergo laparoscopic bariatric surgery were eligible. Dynamic compliance‐guided PEEP titration was conducted in all patients using a downward approach. A recruitment maneuver (PEEP from 10 to 25 cm H2O at 5‐cm H2O step every 30 s, with 15‐cm H2O driving pressure) was conducted both before and after the titration. Patients were then randomized (1:1) to undergo surgery under dynamic compliance‐guided PEEP (PEEP with highest dynamic compliance plus 2 cm H2O) or PEEP of 8 cm H2O. The primary outcome was postoperative atelectasis, as assessed with computed tomography at 60 to 90 min after extubation, and expressed as percentage to total lung tissue volume. Secondary outcomes included Pao2/inspiratory oxygen fraction (Fio2) and postoperative pulmonary complications. RESULTS: Forty patients (mean ± SD; 28 ± 7 yr of age; 25 females; average body mass index, 41.0 ± 4.7 kg/m2) were enrolled. Median PEEP with highest dynamic compliance during titration was 15 cm H2O (interquartile range, 13 to 17; range, 8 to 19) in the entire sample of 40 patients. The primary outcome of postoperative atelectasis (available in 19 patients in each group) was 13.1 ± 5.3% and 9.5 ± 4.3% in the PEEP of 8 cm H2O and dynamic compliance‐guided PEEP groups, respectively (intergroup difference, 3.7%; 95% CI, 0.5 to 6.8%; P = 0.025). Pao2/Fio2 at 1 h after pneumoperitoneum was higher in the dynamic compliance‐guided PEEP group (397 vs. 337 mmHg; group difference, 60; 95% CI, 9 to 111; P = 0.017) but did not differ between the two groups 30 min after extubation (359 vs. 375 mmHg; group difference, ‐17; 95% CI, ‐53 to 21; P = 0.183). The incidence of postoperative pulmonary complications was 4 of 20 in both groups. CONCLUSIONS: Postoperative atelectasis was lower in patients undergoing laparoscopic bariatric surgery under dynamic compliance‐guided PEEP versus PEEP of 8 cm H2O. Postoperative Pao2/Fio2 did not differ between the two groups.","archive_location":"CN-02581757","container-title":"Anesthesiology","DOI":"10.1097/ALN.0000000000004603","issue":"3","journalAbbreviation":"Anesthesiology","page":"262‐273","title":"Individualized Positive End-expiratory Pressure on Postoperative Atelectasis in Patients with Obesity: a Randomized Controlled Clinical Trial","volume":"139","author":[{"family":"Li","given":"X"},{"family":"Liu","given":"H"},{"family":"Wang","given":"J"},{"family":"Ni","given":"ZL"},{"family":"Liu","given":"ZX"},{"family":"Jiao","given":"JL"},{"family":"Han","given":"Y"},{"family":"Cao","given":"JL"}],"issued":{"date-parts":[["2023"]]}}}],"schema":"https://github.com/citation-style-language/schema/raw/master/csl-citation.json"} </w:instrText>
            </w:r>
            <w:r w:rsidR="002D4875" w:rsidRPr="00483D15">
              <w:rPr>
                <w:bCs/>
                <w:snapToGrid/>
                <w:color w:val="auto"/>
                <w:sz w:val="16"/>
                <w:szCs w:val="16"/>
              </w:rPr>
              <w:fldChar w:fldCharType="separate"/>
            </w:r>
            <w:r w:rsidR="00D41538" w:rsidRPr="00D41538">
              <w:rPr>
                <w:sz w:val="16"/>
              </w:rPr>
              <w:t>[54]</w:t>
            </w:r>
            <w:r w:rsidR="002D4875" w:rsidRPr="00483D15">
              <w:rPr>
                <w:bCs/>
                <w:snapToGrid/>
                <w:color w:val="auto"/>
                <w:sz w:val="16"/>
                <w:szCs w:val="16"/>
              </w:rPr>
              <w:fldChar w:fldCharType="end"/>
            </w:r>
          </w:p>
        </w:tc>
        <w:tc>
          <w:tcPr>
            <w:tcW w:w="976" w:type="dxa"/>
            <w:tcBorders>
              <w:top w:val="single" w:sz="4" w:space="0" w:color="auto"/>
              <w:bottom w:val="single" w:sz="4" w:space="0" w:color="auto"/>
            </w:tcBorders>
            <w:vAlign w:val="center"/>
          </w:tcPr>
          <w:p w14:paraId="58D4616F"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20/20</w:t>
            </w:r>
          </w:p>
        </w:tc>
        <w:tc>
          <w:tcPr>
            <w:tcW w:w="3348" w:type="dxa"/>
            <w:tcBorders>
              <w:top w:val="single" w:sz="4" w:space="0" w:color="auto"/>
              <w:bottom w:val="single" w:sz="4" w:space="0" w:color="auto"/>
            </w:tcBorders>
            <w:vAlign w:val="center"/>
          </w:tcPr>
          <w:p w14:paraId="66AABEDB"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laparoscopic bariatric surgery</w:t>
            </w:r>
          </w:p>
        </w:tc>
        <w:tc>
          <w:tcPr>
            <w:tcW w:w="1521" w:type="dxa"/>
            <w:tcBorders>
              <w:top w:val="single" w:sz="4" w:space="0" w:color="auto"/>
              <w:bottom w:val="single" w:sz="4" w:space="0" w:color="auto"/>
            </w:tcBorders>
            <w:vAlign w:val="center"/>
          </w:tcPr>
          <w:p w14:paraId="3F68C81A"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Cdyn-guided</w:t>
            </w:r>
          </w:p>
        </w:tc>
        <w:tc>
          <w:tcPr>
            <w:tcW w:w="959" w:type="dxa"/>
            <w:tcBorders>
              <w:top w:val="single" w:sz="4" w:space="0" w:color="auto"/>
              <w:bottom w:val="single" w:sz="4" w:space="0" w:color="auto"/>
            </w:tcBorders>
            <w:vAlign w:val="center"/>
          </w:tcPr>
          <w:p w14:paraId="31D1608B"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8</w:t>
            </w:r>
          </w:p>
        </w:tc>
      </w:tr>
      <w:tr w:rsidR="00606986" w:rsidRPr="00483D15" w14:paraId="00FA6252" w14:textId="77777777" w:rsidTr="00E6266E">
        <w:trPr>
          <w:trHeight w:val="465"/>
          <w:jc w:val="center"/>
        </w:trPr>
        <w:tc>
          <w:tcPr>
            <w:tcW w:w="1701" w:type="dxa"/>
            <w:tcBorders>
              <w:top w:val="single" w:sz="4" w:space="0" w:color="auto"/>
              <w:bottom w:val="single" w:sz="4" w:space="0" w:color="auto"/>
            </w:tcBorders>
            <w:vAlign w:val="center"/>
          </w:tcPr>
          <w:p w14:paraId="44355008" w14:textId="6271942A"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Liu et al., 2019</w:t>
            </w:r>
            <w:r w:rsidR="00C26853" w:rsidRPr="00483D15">
              <w:rPr>
                <w:bCs/>
                <w:snapToGrid/>
                <w:color w:val="auto"/>
                <w:sz w:val="16"/>
                <w:szCs w:val="16"/>
              </w:rPr>
              <w:fldChar w:fldCharType="begin"/>
            </w:r>
            <w:r w:rsidR="00320A1A">
              <w:rPr>
                <w:bCs/>
                <w:snapToGrid/>
                <w:color w:val="auto"/>
                <w:sz w:val="16"/>
                <w:szCs w:val="16"/>
              </w:rPr>
              <w:instrText xml:space="preserve"> ADDIN ZOTERO_ITEM CSL_CITATION {"citationID":"UCcQL4PW","properties":{"formattedCitation":"[3]","plainCitation":"[3]","noteIndex":0},"citationItems":[{"id":187,"uris":["http://zotero.org/users/local/L5HAWlIW/items/8MR6RMK8"],"itemData":{"id":187,"type":"article-journal","abstract":"This study aimed to observe the effects of lung-protective ventilation (LPV) on oxygenation index (OI) and postoperative pulmonary complications (PPCs) after laparoscopic radical gastrectomy in middle-aged and elderly patients. A total of 120 patients who were scheduled to undergo laparoscopic radical gastrectomy with an expected time of &gt;3 h were randomly divided into conventional ventilation (CV group) with tidal volume (TV) of 10 mL/kg without positive end-expiratory pressure (PEEP), and lung-protective ventilation (PV group) with 7 mL/kg TV and personal level of PEEP with regular recruitment maneuver every 30 min. Measurements of OI, modified clinical pulmonary infection score (mCPIS), and PPCs were assessed during the perioperative period. Fifty-seven patients in the CV group and 58 in the PV group participated in the data analysis. Patients in the PV group showed better pulmonary dynamic compliance, OI, and peripheral capillary oxygen saturation during and after surgery. The mCPIS was significantly lower in the PV group than in the CV group after surgery. The incidence rate of PPCs was lower in the PV group than in the CV group and the difference was significant in patients whose ventilation time was longer than 6 h in both groups. LPV during laparoscopic radical gastrectomy significantly improved pulmonary oxygenation function and reduced postoperative mCPIS and the incidence of PPCs during the early period after surgery of middle-aged and elderly patients, especially patients whose mechanical ventilation time was longer than 6 h.","container-title":"Brazilian journal of medical and biological research = Revista brasileira de pesquisas medicas e biologicas","DOI":"10.1590/1414-431x20198523","issue":"6","note":"publisher: Associacao Brasileira de Divulgacao Cientifica","page":"e8523-NA","title":"Effect of intraoperative lung-protective mechanical ventilation on pulmonary oxygenation function and postoperative pulmonary complications after laparoscopic radical gastrectomy.","volume":"52","author":[{"family":"Liu","given":"Jing; Meng","suffix":"Zhipeng; Lv, Ran; Zhang, Yaping; Wang, Gaojian; Xie, Junran"}],"issued":{"date-parts":[["2019"]]}}}],"schema":"https://github.com/citation-style-language/schema/raw/master/csl-citation.json"} </w:instrText>
            </w:r>
            <w:r w:rsidR="00C26853" w:rsidRPr="00483D15">
              <w:rPr>
                <w:bCs/>
                <w:snapToGrid/>
                <w:color w:val="auto"/>
                <w:sz w:val="16"/>
                <w:szCs w:val="16"/>
              </w:rPr>
              <w:fldChar w:fldCharType="separate"/>
            </w:r>
            <w:r w:rsidR="00320A1A" w:rsidRPr="00320A1A">
              <w:rPr>
                <w:sz w:val="16"/>
              </w:rPr>
              <w:t>[3]</w:t>
            </w:r>
            <w:r w:rsidR="00C26853" w:rsidRPr="00483D15">
              <w:rPr>
                <w:bCs/>
                <w:snapToGrid/>
                <w:color w:val="auto"/>
                <w:sz w:val="16"/>
                <w:szCs w:val="16"/>
              </w:rPr>
              <w:fldChar w:fldCharType="end"/>
            </w:r>
          </w:p>
        </w:tc>
        <w:tc>
          <w:tcPr>
            <w:tcW w:w="976" w:type="dxa"/>
            <w:tcBorders>
              <w:top w:val="single" w:sz="4" w:space="0" w:color="auto"/>
              <w:bottom w:val="single" w:sz="4" w:space="0" w:color="auto"/>
            </w:tcBorders>
            <w:vAlign w:val="center"/>
          </w:tcPr>
          <w:p w14:paraId="4C4C15C7"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58/57</w:t>
            </w:r>
          </w:p>
        </w:tc>
        <w:tc>
          <w:tcPr>
            <w:tcW w:w="3348" w:type="dxa"/>
            <w:tcBorders>
              <w:top w:val="single" w:sz="4" w:space="0" w:color="auto"/>
              <w:bottom w:val="single" w:sz="4" w:space="0" w:color="auto"/>
            </w:tcBorders>
            <w:vAlign w:val="center"/>
          </w:tcPr>
          <w:p w14:paraId="1DEC4917"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laparoscopic radical gastrectomy</w:t>
            </w:r>
          </w:p>
        </w:tc>
        <w:tc>
          <w:tcPr>
            <w:tcW w:w="1521" w:type="dxa"/>
            <w:tcBorders>
              <w:top w:val="single" w:sz="4" w:space="0" w:color="auto"/>
              <w:bottom w:val="single" w:sz="4" w:space="0" w:color="auto"/>
            </w:tcBorders>
            <w:vAlign w:val="center"/>
          </w:tcPr>
          <w:p w14:paraId="0CBCAA03" w14:textId="7B48A827" w:rsidR="000031F6" w:rsidRPr="00483D15" w:rsidRDefault="00C93894" w:rsidP="000031F6">
            <w:pPr>
              <w:pStyle w:val="MDPI42tablebody"/>
              <w:spacing w:line="240" w:lineRule="auto"/>
              <w:rPr>
                <w:bCs/>
                <w:snapToGrid/>
                <w:color w:val="auto"/>
                <w:sz w:val="16"/>
                <w:szCs w:val="16"/>
              </w:rPr>
            </w:pPr>
            <w:r>
              <w:rPr>
                <w:bCs/>
                <w:snapToGrid/>
                <w:color w:val="auto"/>
                <w:sz w:val="16"/>
                <w:szCs w:val="16"/>
              </w:rPr>
              <w:t>Cstat</w:t>
            </w:r>
            <w:r w:rsidR="000031F6" w:rsidRPr="00483D15">
              <w:rPr>
                <w:bCs/>
                <w:snapToGrid/>
                <w:color w:val="auto"/>
                <w:sz w:val="16"/>
                <w:szCs w:val="16"/>
              </w:rPr>
              <w:t>-guided</w:t>
            </w:r>
          </w:p>
        </w:tc>
        <w:tc>
          <w:tcPr>
            <w:tcW w:w="959" w:type="dxa"/>
            <w:tcBorders>
              <w:top w:val="single" w:sz="4" w:space="0" w:color="auto"/>
              <w:bottom w:val="single" w:sz="4" w:space="0" w:color="auto"/>
            </w:tcBorders>
            <w:vAlign w:val="center"/>
          </w:tcPr>
          <w:p w14:paraId="3CD2E079"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ZEEP</w:t>
            </w:r>
          </w:p>
        </w:tc>
      </w:tr>
      <w:tr w:rsidR="00606986" w:rsidRPr="00483D15" w14:paraId="354A58AD" w14:textId="77777777" w:rsidTr="00E6266E">
        <w:trPr>
          <w:trHeight w:val="465"/>
          <w:jc w:val="center"/>
        </w:trPr>
        <w:tc>
          <w:tcPr>
            <w:tcW w:w="1701" w:type="dxa"/>
            <w:tcBorders>
              <w:top w:val="single" w:sz="4" w:space="0" w:color="auto"/>
              <w:bottom w:val="single" w:sz="4" w:space="0" w:color="auto"/>
            </w:tcBorders>
            <w:vAlign w:val="center"/>
          </w:tcPr>
          <w:p w14:paraId="209A8788" w14:textId="661776C1"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Liu et al., 2020</w:t>
            </w:r>
            <w:r w:rsidR="00C26853" w:rsidRPr="00483D15">
              <w:rPr>
                <w:bCs/>
                <w:snapToGrid/>
                <w:color w:val="auto"/>
                <w:sz w:val="16"/>
                <w:szCs w:val="16"/>
              </w:rPr>
              <w:fldChar w:fldCharType="begin"/>
            </w:r>
            <w:r w:rsidR="00A00020">
              <w:rPr>
                <w:bCs/>
                <w:snapToGrid/>
                <w:color w:val="auto"/>
                <w:sz w:val="16"/>
                <w:szCs w:val="16"/>
              </w:rPr>
              <w:instrText xml:space="preserve"> ADDIN ZOTERO_ITEM CSL_CITATION {"citationID":"sLJTKsGI","properties":{"formattedCitation":"[55]","plainCitation":"[55]","noteIndex":0},"citationItems":[{"id":1612,"uris":["http://zotero.org/users/local/L5HAWlIW/items/5LCJJ8P3"],"itemData":{"id":1612,"type":"article-journal","abstract":"Laparoscopic total hysterectomy is performed by carbon dioxide insufflation, Trendelenburg position and mechanical ventilation of patients under general anesthesia. However, this may induce pulmonary atelectasis and/or hyperdistention of the lungs. Multiple studies have indicated that mechanical ventilation with the use of low tidal volumes, moderate positive end‐expiratory pressure (PEEP) and regular alveolar recruitment maneuvers may improve post‐operative outcomes. However, the benefits of an individualized level of PEEP have not been clearly established. In the present study, it was hypothesized that a moderate fixed PEEP may not suit all patients and an individually‐titrated PEEP during anesthesia may improve the peri‐operative pulmonary oxygenation function. The aim of the present study was to compare the pulmonary oxygenation function and post‐operative pulmonary complications (PPCs) in patients receiving individualized lung‐protective mechanical ventilation (LPV) vs. conventional ventilation (CV) during laparoscopic total hysterectomy. The present study was a randomized double‐blinded clinical trial on 87 patients who were randomly divided to receive CV or protective ventilation (PV). An optimal individualized PEEP value was determined using a static pulmonary compliance‐directed PEEP titration procedure. Pulmonary oxygenation function, serum inflammatory factors, including interleukin‐8 and Clara cell protein 16, the incidence of PPCs and the post‐operative length of stay were also determined. Patients in the PV group exhibited improved pulmonary oxygenation function during and after the operation. The total percentage of PPCs during the first 7 days after surgery was significantly lower in the PV group compared with those in the CV group. In conclusion, as compared to CV, intra‐operative individualized LPV significantly improved pulmonary oxygenation function and reduced the incidence of PPCs during the first 7 days after laparoscopic total hysterectomy (Clinical trial registration no. ChiCTR1900027738).","archive_location":"CN-02099494","container-title":"Experimental and therapeutic medicine","DOI":"10.3892/etm.2020.8549","issue":"4","journalAbbreviation":"Experimental and therapeutic medicine","page":"3051‐3059","title":"Individualized lung protective ventilation vs. Conventional ventilation during general anesthesia in laparoscopic total hysterectomy","volume":"19","author":[{"family":"Liu","given":"J"},{"family":"Huang","given":"X"},{"family":"Hu","given":"S"},{"family":"Meng","given":"Z"},{"family":"He","given":"H"}],"issued":{"date-parts":[["2020"]]}}}],"schema":"https://github.com/citation-style-language/schema/raw/master/csl-citation.json"} </w:instrText>
            </w:r>
            <w:r w:rsidR="00C26853" w:rsidRPr="00483D15">
              <w:rPr>
                <w:bCs/>
                <w:snapToGrid/>
                <w:color w:val="auto"/>
                <w:sz w:val="16"/>
                <w:szCs w:val="16"/>
              </w:rPr>
              <w:fldChar w:fldCharType="separate"/>
            </w:r>
            <w:r w:rsidR="00A00020" w:rsidRPr="00A00020">
              <w:rPr>
                <w:sz w:val="16"/>
              </w:rPr>
              <w:t>[55]</w:t>
            </w:r>
            <w:r w:rsidR="00C26853" w:rsidRPr="00483D15">
              <w:rPr>
                <w:bCs/>
                <w:snapToGrid/>
                <w:color w:val="auto"/>
                <w:sz w:val="16"/>
                <w:szCs w:val="16"/>
              </w:rPr>
              <w:fldChar w:fldCharType="end"/>
            </w:r>
          </w:p>
        </w:tc>
        <w:tc>
          <w:tcPr>
            <w:tcW w:w="976" w:type="dxa"/>
            <w:tcBorders>
              <w:top w:val="single" w:sz="4" w:space="0" w:color="auto"/>
              <w:bottom w:val="single" w:sz="4" w:space="0" w:color="auto"/>
            </w:tcBorders>
            <w:vAlign w:val="center"/>
          </w:tcPr>
          <w:p w14:paraId="634E3888"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44/43</w:t>
            </w:r>
          </w:p>
        </w:tc>
        <w:tc>
          <w:tcPr>
            <w:tcW w:w="3348" w:type="dxa"/>
            <w:tcBorders>
              <w:top w:val="single" w:sz="4" w:space="0" w:color="auto"/>
              <w:bottom w:val="single" w:sz="4" w:space="0" w:color="auto"/>
            </w:tcBorders>
            <w:vAlign w:val="center"/>
          </w:tcPr>
          <w:p w14:paraId="4ADBB3BA"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laparoscopic total hysterectomy</w:t>
            </w:r>
          </w:p>
        </w:tc>
        <w:tc>
          <w:tcPr>
            <w:tcW w:w="1521" w:type="dxa"/>
            <w:tcBorders>
              <w:top w:val="single" w:sz="4" w:space="0" w:color="auto"/>
              <w:bottom w:val="single" w:sz="4" w:space="0" w:color="auto"/>
            </w:tcBorders>
            <w:vAlign w:val="center"/>
          </w:tcPr>
          <w:p w14:paraId="698AC188" w14:textId="7FBFF361" w:rsidR="000031F6" w:rsidRPr="00483D15" w:rsidRDefault="00093FB1" w:rsidP="000031F6">
            <w:pPr>
              <w:pStyle w:val="MDPI42tablebody"/>
              <w:spacing w:line="240" w:lineRule="auto"/>
              <w:rPr>
                <w:bCs/>
                <w:snapToGrid/>
                <w:color w:val="auto"/>
                <w:sz w:val="16"/>
                <w:szCs w:val="16"/>
              </w:rPr>
            </w:pPr>
            <w:r>
              <w:rPr>
                <w:bCs/>
                <w:snapToGrid/>
                <w:color w:val="auto"/>
                <w:sz w:val="16"/>
                <w:szCs w:val="16"/>
              </w:rPr>
              <w:t>Cstat</w:t>
            </w:r>
            <w:r w:rsidR="000031F6" w:rsidRPr="00483D15">
              <w:rPr>
                <w:bCs/>
                <w:snapToGrid/>
                <w:color w:val="auto"/>
                <w:sz w:val="16"/>
                <w:szCs w:val="16"/>
              </w:rPr>
              <w:t>-guided</w:t>
            </w:r>
          </w:p>
        </w:tc>
        <w:tc>
          <w:tcPr>
            <w:tcW w:w="959" w:type="dxa"/>
            <w:tcBorders>
              <w:top w:val="single" w:sz="4" w:space="0" w:color="auto"/>
              <w:bottom w:val="single" w:sz="4" w:space="0" w:color="auto"/>
            </w:tcBorders>
            <w:vAlign w:val="center"/>
          </w:tcPr>
          <w:p w14:paraId="0B2F6BE1"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ZEEP</w:t>
            </w:r>
          </w:p>
        </w:tc>
      </w:tr>
      <w:tr w:rsidR="00606986" w:rsidRPr="00483D15" w14:paraId="1E684070" w14:textId="77777777" w:rsidTr="00E6266E">
        <w:trPr>
          <w:trHeight w:val="465"/>
          <w:jc w:val="center"/>
        </w:trPr>
        <w:tc>
          <w:tcPr>
            <w:tcW w:w="1701" w:type="dxa"/>
            <w:tcBorders>
              <w:top w:val="single" w:sz="4" w:space="0" w:color="auto"/>
              <w:bottom w:val="single" w:sz="4" w:space="0" w:color="auto"/>
            </w:tcBorders>
            <w:vAlign w:val="center"/>
          </w:tcPr>
          <w:p w14:paraId="0038B8B2" w14:textId="30A8D074"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Luo et al., 2023</w:t>
            </w:r>
            <w:r w:rsidRPr="00483D15">
              <w:rPr>
                <w:bCs/>
                <w:snapToGrid/>
                <w:color w:val="auto"/>
                <w:sz w:val="16"/>
                <w:szCs w:val="16"/>
              </w:rPr>
              <w:fldChar w:fldCharType="begin"/>
            </w:r>
            <w:r w:rsidR="008A001C">
              <w:rPr>
                <w:bCs/>
                <w:snapToGrid/>
                <w:color w:val="auto"/>
                <w:sz w:val="16"/>
                <w:szCs w:val="16"/>
              </w:rPr>
              <w:instrText xml:space="preserve"> ADDIN ZOTERO_ITEM CSL_CITATION {"citationID":"cgm32U1e","properties":{"formattedCitation":"[56]","plainCitation":"[56]","noteIndex":0},"citationItems":[{"id":1568,"uris":["http://zotero.org/users/local/L5HAWlIW/items/5DJWX5NC"],"itemData":{"id":1568,"type":"article-journal","abstract":"Abstract\n            \n              Objective\n              To evaluate the effect of the individualized positive end-expiratory pressure (PEEP) lung protection ventilation strategy by combining driving pressure (ΔP) and pulmonary ultrasound (LUS)-based titration on lung function and postoperative cognitive function in patients with chronic obstructive pulmonary disease (COPD) during laparoscopic surgery.\n            \n            \n              Methods\n              \n                A total of 108 patients with COPD undergoing laparoscopic gastrointestinal surgery under general anesthesia were included in this study. They were randomly divided into three groups (n = 36): traditional volume ventilation group (Group C), fixed PEEP 5 cmH\n                2\n                O group (Group P), and ΔP combined with LUS-based PEEP titration in the resuscitation room group (Group T). All three groups were given volume ventilation mode, I:E = 1:2; In group C, VT was 10 mL/kg and PEEP was 0 cmH\n                2\n                O; In groups P and T, VT was 6 mL/kg and PEEP was 5 cmH\n                2\n                O; After mechanical ventilation for 15 min in Group T, ΔP in combination with LUS was used to titrate PEEP. The oxygenation index (PaO2/FiO2), airway platform pressure (Pplat), dynamic lung compliance (Cdyn), Montreal Cognitive Assessment (MoCA), and venous interleukin-6(IL-6) were recorded at the corresponding time points, and the final PEEP value in Group T was recorded.\n              \n            \n            \n              Results\n              \n                The final PEEP value of Group T was (6.4 ± 1.2) cmH\n                2\n                O; Compared with groups C and P: PaO\n                2\n                /FiO\n                2\n                and Cdyn in Group T were significantly increased (\n                P\n                 &lt; 0.05) and value of IL-6 was significantly decreased (\n                P\n                 &lt; 0.05) at the corresponding time points. Compared with group C, the MoCA score on day 7 after surgery in Group T was significantly higher (\n                P\n                 &lt; 0.05).\n              \n            \n            \n              Conclusion\n              Compared with the traditional ventilation strategy, the individualized ΔP combined with LUS-based PEEP titration in patients with COPD during the perioperative period of laparoscopic surgery can play a better role in lung protection and can improve postoperative cognitive function.","container-title":"BMC Pulmonary Medicine","DOI":"10.1186/s12890-023-02471-y","ISSN":"1471-2466","issue":"1","journalAbbreviation":"BMC Pulm Med","language":"en","page":"232","source":"DOI.org (Crossref)","title":"Effect of individualized PEEP titration by ultrasonography on perioperative pulmonary protection and postoperative cognitive function in patients with chronic obstructive pulmonary disease","volume":"23","author":[{"family":"Luo","given":"Lai-feng"},{"family":"Lin","given":"Yu-mei"},{"family":"Liu","given":"Ying"},{"family":"Gao","given":"Xiao-hua"},{"family":"Li","given":"Chui-yu"},{"family":"Zhang","given":"Xiao-qi"},{"family":"Wu","given":"Jian-hua"},{"family":"Chen","given":"Zhi-yuan"}],"issued":{"date-parts":[["2023",6,28]]}}}],"schema":"https://github.com/citation-style-language/schema/raw/master/csl-citation.json"} </w:instrText>
            </w:r>
            <w:r w:rsidRPr="00483D15">
              <w:rPr>
                <w:bCs/>
                <w:snapToGrid/>
                <w:color w:val="auto"/>
                <w:sz w:val="16"/>
                <w:szCs w:val="16"/>
              </w:rPr>
              <w:fldChar w:fldCharType="separate"/>
            </w:r>
            <w:r w:rsidR="008A001C" w:rsidRPr="008A001C">
              <w:rPr>
                <w:sz w:val="16"/>
              </w:rPr>
              <w:t>[56]</w:t>
            </w:r>
            <w:r w:rsidRPr="00483D15">
              <w:rPr>
                <w:bCs/>
                <w:snapToGrid/>
                <w:color w:val="auto"/>
                <w:sz w:val="16"/>
                <w:szCs w:val="16"/>
              </w:rPr>
              <w:fldChar w:fldCharType="end"/>
            </w:r>
          </w:p>
        </w:tc>
        <w:tc>
          <w:tcPr>
            <w:tcW w:w="976" w:type="dxa"/>
            <w:tcBorders>
              <w:top w:val="single" w:sz="4" w:space="0" w:color="auto"/>
              <w:bottom w:val="single" w:sz="4" w:space="0" w:color="auto"/>
            </w:tcBorders>
            <w:vAlign w:val="center"/>
          </w:tcPr>
          <w:p w14:paraId="1B1241F5"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36/36</w:t>
            </w:r>
          </w:p>
        </w:tc>
        <w:tc>
          <w:tcPr>
            <w:tcW w:w="3348" w:type="dxa"/>
            <w:tcBorders>
              <w:top w:val="single" w:sz="4" w:space="0" w:color="auto"/>
              <w:bottom w:val="single" w:sz="4" w:space="0" w:color="auto"/>
            </w:tcBorders>
            <w:vAlign w:val="center"/>
          </w:tcPr>
          <w:p w14:paraId="26791DD0"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laparoscopic gastrointestinal surgery</w:t>
            </w:r>
          </w:p>
        </w:tc>
        <w:tc>
          <w:tcPr>
            <w:tcW w:w="1521" w:type="dxa"/>
            <w:tcBorders>
              <w:top w:val="single" w:sz="4" w:space="0" w:color="auto"/>
              <w:bottom w:val="single" w:sz="4" w:space="0" w:color="auto"/>
            </w:tcBorders>
            <w:vAlign w:val="center"/>
          </w:tcPr>
          <w:p w14:paraId="0F797335" w14:textId="2A2BF3E1" w:rsidR="000031F6" w:rsidRPr="00483D15" w:rsidRDefault="000031F6" w:rsidP="000031F6">
            <w:pPr>
              <w:pStyle w:val="MDPI42tablebody"/>
              <w:spacing w:line="240" w:lineRule="auto"/>
              <w:rPr>
                <w:bCs/>
                <w:snapToGrid/>
                <w:color w:val="auto"/>
                <w:sz w:val="16"/>
                <w:szCs w:val="16"/>
              </w:rPr>
            </w:pPr>
            <w:proofErr w:type="spellStart"/>
            <w:r w:rsidRPr="00483D15">
              <w:rPr>
                <w:bCs/>
                <w:snapToGrid/>
                <w:color w:val="auto"/>
                <w:sz w:val="16"/>
                <w:szCs w:val="16"/>
              </w:rPr>
              <w:t>US-guided</w:t>
            </w:r>
            <w:r w:rsidR="00757DE1">
              <w:rPr>
                <w:bCs/>
                <w:snapToGrid/>
                <w:color w:val="auto"/>
                <w:sz w:val="16"/>
                <w:szCs w:val="16"/>
              </w:rPr>
              <w:t>+dP</w:t>
            </w:r>
            <w:r w:rsidR="00CF16C8">
              <w:rPr>
                <w:bCs/>
                <w:snapToGrid/>
                <w:color w:val="auto"/>
                <w:sz w:val="16"/>
                <w:szCs w:val="16"/>
              </w:rPr>
              <w:t>-guided</w:t>
            </w:r>
            <w:proofErr w:type="spellEnd"/>
          </w:p>
        </w:tc>
        <w:tc>
          <w:tcPr>
            <w:tcW w:w="959" w:type="dxa"/>
            <w:tcBorders>
              <w:top w:val="single" w:sz="4" w:space="0" w:color="auto"/>
              <w:bottom w:val="single" w:sz="4" w:space="0" w:color="auto"/>
            </w:tcBorders>
            <w:vAlign w:val="center"/>
          </w:tcPr>
          <w:p w14:paraId="41456609"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5</w:t>
            </w:r>
          </w:p>
        </w:tc>
      </w:tr>
      <w:tr w:rsidR="00606986" w:rsidRPr="00483D15" w14:paraId="16FFCCA2" w14:textId="77777777" w:rsidTr="00E6266E">
        <w:trPr>
          <w:trHeight w:val="465"/>
          <w:jc w:val="center"/>
        </w:trPr>
        <w:tc>
          <w:tcPr>
            <w:tcW w:w="1701" w:type="dxa"/>
            <w:tcBorders>
              <w:top w:val="single" w:sz="4" w:space="0" w:color="auto"/>
              <w:bottom w:val="single" w:sz="4" w:space="0" w:color="auto"/>
            </w:tcBorders>
            <w:vAlign w:val="center"/>
          </w:tcPr>
          <w:p w14:paraId="207CC203" w14:textId="6D525EE3"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Mini et al., 2021</w:t>
            </w:r>
            <w:r w:rsidR="00EB618D" w:rsidRPr="00483D15">
              <w:rPr>
                <w:bCs/>
                <w:snapToGrid/>
                <w:color w:val="auto"/>
                <w:sz w:val="16"/>
                <w:szCs w:val="16"/>
              </w:rPr>
              <w:fldChar w:fldCharType="begin"/>
            </w:r>
            <w:r w:rsidR="00E66819">
              <w:rPr>
                <w:bCs/>
                <w:snapToGrid/>
                <w:color w:val="auto"/>
                <w:sz w:val="16"/>
                <w:szCs w:val="16"/>
              </w:rPr>
              <w:instrText xml:space="preserve"> ADDIN ZOTERO_ITEM CSL_CITATION {"citationID":"oXpHYapQ","properties":{"formattedCitation":"[57]","plainCitation":"[57]","noteIndex":0},"citationItems":[{"id":22,"uris":["http://zotero.org/users/local/L5HAWlIW/items/J95XU98Y"],"itemData":{"id":22,"type":"article-journal","container-title":"Surgery","DOI":"10.1016/j.surg.2021.01.047","ISSN":"00396060","issue":"1","journalAbbreviation":"Surgery","language":"en","note":"number: 1","page":"277-283","source":"DOI.org (Crossref)","title":"Effect of driving pressure-guided positive end-expiratory pressure (PEEP) titration on postoperative lung atelectasis in adult patients undergoing elective major abdominal surgery: A randomized controlled trial","title-short":"Effect of driving pressure-guided positive end-expiratory pressure (PEEP) titration on postoperative lung atelectasis in adult patients undergoing elective major abdominal surgery","volume":"170","author":[{"family":"Mini","given":"Gouri"},{"family":"Ray","given":"Bikash R."},{"family":"Anand","given":"Rahul K."},{"family":"Muthiah","given":"Thilaka"},{"family":"Baidya","given":"Dalim K."},{"family":"Rewari","given":"Vimi"},{"family":"Sahni","given":"Peush"},{"family":"Maitra","given":"Souvik"}],"issued":{"date-parts":[["2021",7]]}}}],"schema":"https://github.com/citation-style-language/schema/raw/master/csl-citation.json"} </w:instrText>
            </w:r>
            <w:r w:rsidR="00EB618D" w:rsidRPr="00483D15">
              <w:rPr>
                <w:bCs/>
                <w:snapToGrid/>
                <w:color w:val="auto"/>
                <w:sz w:val="16"/>
                <w:szCs w:val="16"/>
              </w:rPr>
              <w:fldChar w:fldCharType="separate"/>
            </w:r>
            <w:r w:rsidR="00E66819" w:rsidRPr="00E66819">
              <w:rPr>
                <w:sz w:val="16"/>
              </w:rPr>
              <w:t>[57]</w:t>
            </w:r>
            <w:r w:rsidR="00EB618D" w:rsidRPr="00483D15">
              <w:rPr>
                <w:bCs/>
                <w:snapToGrid/>
                <w:color w:val="auto"/>
                <w:sz w:val="16"/>
                <w:szCs w:val="16"/>
              </w:rPr>
              <w:fldChar w:fldCharType="end"/>
            </w:r>
          </w:p>
        </w:tc>
        <w:tc>
          <w:tcPr>
            <w:tcW w:w="976" w:type="dxa"/>
            <w:tcBorders>
              <w:top w:val="single" w:sz="4" w:space="0" w:color="auto"/>
              <w:bottom w:val="single" w:sz="4" w:space="0" w:color="auto"/>
            </w:tcBorders>
            <w:vAlign w:val="center"/>
          </w:tcPr>
          <w:p w14:paraId="6D2B9ED7"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41/41</w:t>
            </w:r>
          </w:p>
        </w:tc>
        <w:tc>
          <w:tcPr>
            <w:tcW w:w="3348" w:type="dxa"/>
            <w:tcBorders>
              <w:top w:val="single" w:sz="4" w:space="0" w:color="auto"/>
              <w:bottom w:val="single" w:sz="4" w:space="0" w:color="auto"/>
            </w:tcBorders>
            <w:vAlign w:val="center"/>
          </w:tcPr>
          <w:p w14:paraId="3D798F53"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open abdominal surgery</w:t>
            </w:r>
          </w:p>
        </w:tc>
        <w:tc>
          <w:tcPr>
            <w:tcW w:w="1521" w:type="dxa"/>
            <w:tcBorders>
              <w:top w:val="single" w:sz="4" w:space="0" w:color="auto"/>
              <w:bottom w:val="single" w:sz="4" w:space="0" w:color="auto"/>
            </w:tcBorders>
            <w:vAlign w:val="center"/>
          </w:tcPr>
          <w:p w14:paraId="7B7C284F" w14:textId="77777777" w:rsidR="000031F6" w:rsidRPr="00483D15" w:rsidRDefault="000031F6" w:rsidP="000031F6">
            <w:pPr>
              <w:pStyle w:val="MDPI42tablebody"/>
              <w:spacing w:line="240" w:lineRule="auto"/>
              <w:rPr>
                <w:bCs/>
                <w:snapToGrid/>
                <w:color w:val="auto"/>
                <w:sz w:val="16"/>
                <w:szCs w:val="16"/>
              </w:rPr>
            </w:pPr>
            <w:proofErr w:type="spellStart"/>
            <w:r w:rsidRPr="00483D15">
              <w:rPr>
                <w:bCs/>
                <w:snapToGrid/>
                <w:color w:val="auto"/>
                <w:sz w:val="16"/>
                <w:szCs w:val="16"/>
              </w:rPr>
              <w:t>dP</w:t>
            </w:r>
            <w:proofErr w:type="spellEnd"/>
            <w:r w:rsidRPr="00483D15">
              <w:rPr>
                <w:bCs/>
                <w:snapToGrid/>
                <w:color w:val="auto"/>
                <w:sz w:val="16"/>
                <w:szCs w:val="16"/>
              </w:rPr>
              <w:t>-guided</w:t>
            </w:r>
          </w:p>
        </w:tc>
        <w:tc>
          <w:tcPr>
            <w:tcW w:w="959" w:type="dxa"/>
            <w:tcBorders>
              <w:top w:val="single" w:sz="4" w:space="0" w:color="auto"/>
              <w:bottom w:val="single" w:sz="4" w:space="0" w:color="auto"/>
            </w:tcBorders>
            <w:vAlign w:val="center"/>
          </w:tcPr>
          <w:p w14:paraId="652351A3"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5</w:t>
            </w:r>
          </w:p>
        </w:tc>
      </w:tr>
      <w:tr w:rsidR="00606986" w:rsidRPr="00483D15" w14:paraId="163F807B" w14:textId="77777777" w:rsidTr="00E6266E">
        <w:trPr>
          <w:trHeight w:val="465"/>
          <w:jc w:val="center"/>
        </w:trPr>
        <w:tc>
          <w:tcPr>
            <w:tcW w:w="1701" w:type="dxa"/>
            <w:tcBorders>
              <w:top w:val="single" w:sz="4" w:space="0" w:color="auto"/>
              <w:bottom w:val="single" w:sz="4" w:space="0" w:color="auto"/>
            </w:tcBorders>
            <w:vAlign w:val="center"/>
          </w:tcPr>
          <w:p w14:paraId="6E5A2456" w14:textId="632AF5C4"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Nestler et al., 2017</w:t>
            </w:r>
            <w:r w:rsidR="00EB618D" w:rsidRPr="00483D15">
              <w:rPr>
                <w:bCs/>
                <w:snapToGrid/>
                <w:color w:val="auto"/>
                <w:sz w:val="16"/>
                <w:szCs w:val="16"/>
              </w:rPr>
              <w:fldChar w:fldCharType="begin"/>
            </w:r>
            <w:r w:rsidR="006235F6">
              <w:rPr>
                <w:bCs/>
                <w:snapToGrid/>
                <w:color w:val="auto"/>
                <w:sz w:val="16"/>
                <w:szCs w:val="16"/>
              </w:rPr>
              <w:instrText xml:space="preserve"> ADDIN ZOTERO_ITEM CSL_CITATION {"citationID":"0h49TUHG","properties":{"formattedCitation":"[14]","plainCitation":"[14]","noteIndex":0},"citationItems":[{"id":163,"uris":["http://zotero.org/users/local/L5HAWlIW/items/V9KG3S7Z"],"itemData":{"id":163,"type":"article-journal","abstract":"Abstract Background General anaesthesia leads to atelectasis, reduced end-expiratory lung volume (EELV), and diminished arterial oxygenation in obese patients. We hypothesized that a combination of a recruitment manoeuvre (RM) and individualized positive end-expiratory pressure (PEEP) can avoid these effects. Methods Patients with a BMI ≥35 kg m−2 undergoing elective laparoscopic surgery were randomly allocated to mechanical ventilation with a tidal volume of 8 ml kg−1 predicted body weight and (i) an RM followed by individualized PEEP titrated using electrical impedance tomography (PEEPIND) or (ii) no RM and PEEP of 5 cm H2O (PEEP5). Gas exchange, regional ventilation distribution, and EELV (multiple breath nitrogen washout method) were determined before, during, and after anaesthesia. The primary end point was the ratio of arterial partial pressure of oxygen to inspiratory oxygen fraction (PaO2/FiO2). Results For PEEPIND (n=25) and PEEP5 (n=25) arms together, PaO2/FiO2 and EELV decreased by 15 kPa [95% confidence interval (CI) 11–20 kPa, P Conclusions In obese patients, an RM and higher PEEPIND restored EELV, regional ventilation distribution, and oxygenation during anaesthesia, but these differences did not persist after extubation. Therefore, lung protection strategies should include the postoperative period. Clinical trial registration German clinical trials register DRKS00004199, www.who.int/ictrp/network/drks2/en/.","container-title":"British journal of anaesthesia","DOI":"10.1093/bja/aex192","issue":"6","note":"publisher: Oxford University Press","page":"1194-1205","title":"Individualized positive end-expiratory pressure in obese patients during general anaesthesia: a randomized controlled clinical trial using electrical impedance tomography","volume":"119","author":[{"family":"Nestler","given":"C.; Simon","suffix":"P.; Petroff, David; Hammermüller, Sören; Kamrath, D.; Wolf, Samuel J.; Dietrich, Arne; Camilo, Luciana Moisés; Beda, Alessandro; Carvalho, Alysson R.; Giannella-Neto, Antonio; Reske, Andreas W.; Wrigge, Hermann"}],"issued":{"date-parts":[["2017"]]}}}],"schema":"https://github.com/citation-style-language/schema/raw/master/csl-citation.json"} </w:instrText>
            </w:r>
            <w:r w:rsidR="00EB618D" w:rsidRPr="00483D15">
              <w:rPr>
                <w:bCs/>
                <w:snapToGrid/>
                <w:color w:val="auto"/>
                <w:sz w:val="16"/>
                <w:szCs w:val="16"/>
              </w:rPr>
              <w:fldChar w:fldCharType="separate"/>
            </w:r>
            <w:r w:rsidR="006235F6" w:rsidRPr="006235F6">
              <w:rPr>
                <w:sz w:val="16"/>
              </w:rPr>
              <w:t>[14]</w:t>
            </w:r>
            <w:r w:rsidR="00EB618D" w:rsidRPr="00483D15">
              <w:rPr>
                <w:bCs/>
                <w:snapToGrid/>
                <w:color w:val="auto"/>
                <w:sz w:val="16"/>
                <w:szCs w:val="16"/>
              </w:rPr>
              <w:fldChar w:fldCharType="end"/>
            </w:r>
          </w:p>
        </w:tc>
        <w:tc>
          <w:tcPr>
            <w:tcW w:w="976" w:type="dxa"/>
            <w:tcBorders>
              <w:top w:val="single" w:sz="4" w:space="0" w:color="auto"/>
              <w:bottom w:val="single" w:sz="4" w:space="0" w:color="auto"/>
            </w:tcBorders>
            <w:vAlign w:val="center"/>
          </w:tcPr>
          <w:p w14:paraId="1330EE02"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25/25</w:t>
            </w:r>
          </w:p>
        </w:tc>
        <w:tc>
          <w:tcPr>
            <w:tcW w:w="3348" w:type="dxa"/>
            <w:tcBorders>
              <w:top w:val="single" w:sz="4" w:space="0" w:color="auto"/>
              <w:bottom w:val="single" w:sz="4" w:space="0" w:color="auto"/>
            </w:tcBorders>
            <w:vAlign w:val="center"/>
          </w:tcPr>
          <w:p w14:paraId="57277274"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laparoscopic bariatric surgery</w:t>
            </w:r>
          </w:p>
        </w:tc>
        <w:tc>
          <w:tcPr>
            <w:tcW w:w="1521" w:type="dxa"/>
            <w:tcBorders>
              <w:top w:val="single" w:sz="4" w:space="0" w:color="auto"/>
              <w:bottom w:val="single" w:sz="4" w:space="0" w:color="auto"/>
            </w:tcBorders>
            <w:vAlign w:val="center"/>
          </w:tcPr>
          <w:p w14:paraId="1F5EC108"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EIT-guided</w:t>
            </w:r>
          </w:p>
        </w:tc>
        <w:tc>
          <w:tcPr>
            <w:tcW w:w="959" w:type="dxa"/>
            <w:tcBorders>
              <w:top w:val="single" w:sz="4" w:space="0" w:color="auto"/>
              <w:bottom w:val="single" w:sz="4" w:space="0" w:color="auto"/>
            </w:tcBorders>
            <w:vAlign w:val="center"/>
          </w:tcPr>
          <w:p w14:paraId="1120112C"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5</w:t>
            </w:r>
          </w:p>
        </w:tc>
      </w:tr>
      <w:tr w:rsidR="00606986" w:rsidRPr="00483D15" w14:paraId="67266656" w14:textId="77777777" w:rsidTr="00E6266E">
        <w:trPr>
          <w:trHeight w:val="465"/>
          <w:jc w:val="center"/>
        </w:trPr>
        <w:tc>
          <w:tcPr>
            <w:tcW w:w="1701" w:type="dxa"/>
            <w:tcBorders>
              <w:top w:val="single" w:sz="4" w:space="0" w:color="auto"/>
              <w:bottom w:val="single" w:sz="4" w:space="0" w:color="auto"/>
            </w:tcBorders>
            <w:vAlign w:val="center"/>
          </w:tcPr>
          <w:p w14:paraId="1D30AAB4" w14:textId="507A87EF"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Pan et al., 2023</w:t>
            </w:r>
            <w:r w:rsidR="00EB618D" w:rsidRPr="00483D15">
              <w:rPr>
                <w:bCs/>
                <w:snapToGrid/>
                <w:color w:val="auto"/>
                <w:sz w:val="16"/>
                <w:szCs w:val="16"/>
              </w:rPr>
              <w:fldChar w:fldCharType="begin"/>
            </w:r>
            <w:r w:rsidR="0068463B">
              <w:rPr>
                <w:bCs/>
                <w:snapToGrid/>
                <w:color w:val="auto"/>
                <w:sz w:val="16"/>
                <w:szCs w:val="16"/>
              </w:rPr>
              <w:instrText xml:space="preserve"> ADDIN ZOTERO_ITEM CSL_CITATION {"citationID":"AKtUOLhX","properties":{"formattedCitation":"[58]","plainCitation":"[58]","noteIndex":0},"citationItems":[{"id":1667,"uris":["http://zotero.org/users/local/L5HAWlIW/items/C4CXU7ZP"],"itemData":{"id":1667,"type":"article-journal","abstract":"Objective To investigate the effect of individualized positive end expiratory pressure (PEEP) setting guided by chest electrical impedance tomography (EIT) on the incidence of hypoxemia in elderly patients undergoing robot‑assisted radical prostatectomy in the post anesthesia care unit (PACU). Methods From September 2020 to October 2021, sixty elderly patients, with the American Association of Anesthesiologists (ASA) of Grade </w:instrText>
            </w:r>
            <w:r w:rsidR="0068463B">
              <w:rPr>
                <w:rFonts w:ascii="MS Mincho" w:eastAsia="MS Mincho" w:hAnsi="MS Mincho" w:cs="MS Mincho" w:hint="eastAsia"/>
                <w:bCs/>
                <w:snapToGrid/>
                <w:color w:val="auto"/>
                <w:sz w:val="16"/>
                <w:szCs w:val="16"/>
              </w:rPr>
              <w:instrText>Ⅰ</w:instrText>
            </w:r>
            <w:r w:rsidR="0068463B">
              <w:rPr>
                <w:bCs/>
                <w:snapToGrid/>
                <w:color w:val="auto"/>
                <w:sz w:val="16"/>
                <w:szCs w:val="16"/>
              </w:rPr>
              <w:instrText xml:space="preserve"> to </w:instrText>
            </w:r>
            <w:r w:rsidR="0068463B">
              <w:rPr>
                <w:rFonts w:ascii="MS Mincho" w:eastAsia="MS Mincho" w:hAnsi="MS Mincho" w:cs="MS Mincho" w:hint="eastAsia"/>
                <w:bCs/>
                <w:snapToGrid/>
                <w:color w:val="auto"/>
                <w:sz w:val="16"/>
                <w:szCs w:val="16"/>
              </w:rPr>
              <w:instrText>Ⅲ</w:instrText>
            </w:r>
            <w:r w:rsidR="0068463B">
              <w:rPr>
                <w:bCs/>
                <w:snapToGrid/>
                <w:color w:val="auto"/>
                <w:sz w:val="16"/>
                <w:szCs w:val="16"/>
              </w:rPr>
              <w:instrText>, who underwent selective robot</w:instrText>
            </w:r>
            <w:r w:rsidR="0068463B">
              <w:rPr>
                <w:rFonts w:cs="Palatino Linotype"/>
                <w:bCs/>
                <w:snapToGrid/>
                <w:color w:val="auto"/>
                <w:sz w:val="16"/>
                <w:szCs w:val="16"/>
              </w:rPr>
              <w:instrText>‑</w:instrText>
            </w:r>
            <w:r w:rsidR="0068463B">
              <w:rPr>
                <w:bCs/>
                <w:snapToGrid/>
                <w:color w:val="auto"/>
                <w:sz w:val="16"/>
                <w:szCs w:val="16"/>
              </w:rPr>
              <w:instrText>assisted radical prostatectomy under general anesthesia in the Cancer Hospital Affiliated to Fudan University were selected. The participants were divided into two groups by the minimum randomized grouping method: EIT</w:instrText>
            </w:r>
            <w:r w:rsidR="0068463B">
              <w:rPr>
                <w:rFonts w:cs="Palatino Linotype"/>
                <w:bCs/>
                <w:snapToGrid/>
                <w:color w:val="auto"/>
                <w:sz w:val="16"/>
                <w:szCs w:val="16"/>
              </w:rPr>
              <w:instrText>‑</w:instrText>
            </w:r>
            <w:r w:rsidR="0068463B">
              <w:rPr>
                <w:bCs/>
                <w:snapToGrid/>
                <w:color w:val="auto"/>
                <w:sz w:val="16"/>
                <w:szCs w:val="16"/>
              </w:rPr>
              <w:instrText>PEEP group (EP group, n=30) and fixed PEEP group (FP group, n=30). After completion of tracheal intubation and establishment of pneumoperitoneum flexion posture, the individualized PEEP setting was guided by EIT in EP group, and the PEEP setting in FP group was 5 cmH2O (1 cmH2O=0.098 kPa) to the end of operation. During the operation, the ventilation mode of pressure regulation volume control was adopted. The driving pressure, dynamic lung compliance (Cdyn), oxygenation index and hemodynamics were recorded at 5 min (T1), 30 min (T2), 60 min (T3) after PEEP setting and at the time of tracheal catheter removal (T4) in both groups. The primary end point was the incidence of hypoxemia in PACU after extubation. Results The incidence of hypoxemia after extubation was 3.3% (1/30) in EP group and 26.7% (8/ 30) in FP group (P=0.030). The difference of driving pressure between the two groups at T2 [(13.1± 2.4) cmH2O vs (14.9±2.9) cmH2O, P=0.012], T3 [(12.7±2.4) cmH2O vs (15.6±2.8) cmH2O, P&lt;0.001] was statistically significant. In EP group, Cdyn was improved at T2 [(38.4±7.2) ml/cmH2O vs (31.9±5.2) ml/cmH2O, P=0.006] and T3 [(37.5</w:instrText>
            </w:r>
            <w:r w:rsidR="0068463B">
              <w:rPr>
                <w:rFonts w:cs="Palatino Linotype"/>
                <w:bCs/>
                <w:snapToGrid/>
                <w:color w:val="auto"/>
                <w:sz w:val="16"/>
                <w:szCs w:val="16"/>
              </w:rPr>
              <w:instrText>��</w:instrText>
            </w:r>
            <w:r w:rsidR="0068463B">
              <w:rPr>
                <w:bCs/>
                <w:snapToGrid/>
                <w:color w:val="auto"/>
                <w:sz w:val="16"/>
                <w:szCs w:val="16"/>
              </w:rPr>
              <w:instrText>9.0) ml/cmH2O vs (30.4</w:instrText>
            </w:r>
            <w:r w:rsidR="0068463B">
              <w:rPr>
                <w:rFonts w:cs="Palatino Linotype"/>
                <w:bCs/>
                <w:snapToGrid/>
                <w:color w:val="auto"/>
                <w:sz w:val="16"/>
                <w:szCs w:val="16"/>
              </w:rPr>
              <w:instrText>±</w:instrText>
            </w:r>
            <w:r w:rsidR="0068463B">
              <w:rPr>
                <w:bCs/>
                <w:snapToGrid/>
                <w:color w:val="auto"/>
                <w:sz w:val="16"/>
                <w:szCs w:val="16"/>
              </w:rPr>
              <w:instrText>5.9) ml/cmH2O, P=0.001]. In EP group, PaO2/FiO2 increased at T1 [(465.7</w:instrText>
            </w:r>
            <w:r w:rsidR="0068463B">
              <w:rPr>
                <w:rFonts w:cs="Palatino Linotype"/>
                <w:bCs/>
                <w:snapToGrid/>
                <w:color w:val="auto"/>
                <w:sz w:val="16"/>
                <w:szCs w:val="16"/>
              </w:rPr>
              <w:instrText>±</w:instrText>
            </w:r>
            <w:r w:rsidR="0068463B">
              <w:rPr>
                <w:bCs/>
                <w:snapToGrid/>
                <w:color w:val="auto"/>
                <w:sz w:val="16"/>
                <w:szCs w:val="16"/>
              </w:rPr>
              <w:instrText>84.5) mmHg vs (383.5</w:instrText>
            </w:r>
            <w:r w:rsidR="0068463B">
              <w:rPr>
                <w:rFonts w:cs="Palatino Linotype"/>
                <w:bCs/>
                <w:snapToGrid/>
                <w:color w:val="auto"/>
                <w:sz w:val="16"/>
                <w:szCs w:val="16"/>
              </w:rPr>
              <w:instrText>±</w:instrText>
            </w:r>
            <w:r w:rsidR="0068463B">
              <w:rPr>
                <w:bCs/>
                <w:snapToGrid/>
                <w:color w:val="auto"/>
                <w:sz w:val="16"/>
                <w:szCs w:val="16"/>
              </w:rPr>
              <w:instrText>58.0) mmHg, 1 mmHg=0.133 kPa, P&lt; 0.001], T2 [(504.7</w:instrText>
            </w:r>
            <w:r w:rsidR="0068463B">
              <w:rPr>
                <w:rFonts w:cs="Palatino Linotype"/>
                <w:bCs/>
                <w:snapToGrid/>
                <w:color w:val="auto"/>
                <w:sz w:val="16"/>
                <w:szCs w:val="16"/>
              </w:rPr>
              <w:instrText>±</w:instrText>
            </w:r>
            <w:r w:rsidR="0068463B">
              <w:rPr>
                <w:bCs/>
                <w:snapToGrid/>
                <w:color w:val="auto"/>
                <w:sz w:val="16"/>
                <w:szCs w:val="16"/>
              </w:rPr>
              <w:instrText>105.8) mmHg vs (418.9</w:instrText>
            </w:r>
            <w:r w:rsidR="0068463B">
              <w:rPr>
                <w:rFonts w:cs="Palatino Linotype"/>
                <w:bCs/>
                <w:snapToGrid/>
                <w:color w:val="auto"/>
                <w:sz w:val="16"/>
                <w:szCs w:val="16"/>
              </w:rPr>
              <w:instrText>±</w:instrText>
            </w:r>
            <w:r w:rsidR="0068463B">
              <w:rPr>
                <w:bCs/>
                <w:snapToGrid/>
                <w:color w:val="auto"/>
                <w:sz w:val="16"/>
                <w:szCs w:val="16"/>
              </w:rPr>
              <w:instrText>73.7) mmHg, P=0.001], T3 [(520.7</w:instrText>
            </w:r>
            <w:r w:rsidR="0068463B">
              <w:rPr>
                <w:rFonts w:cs="Palatino Linotype"/>
                <w:bCs/>
                <w:snapToGrid/>
                <w:color w:val="auto"/>
                <w:sz w:val="16"/>
                <w:szCs w:val="16"/>
              </w:rPr>
              <w:instrText>±</w:instrText>
            </w:r>
            <w:r w:rsidR="0068463B">
              <w:rPr>
                <w:bCs/>
                <w:snapToGrid/>
                <w:color w:val="auto"/>
                <w:sz w:val="16"/>
                <w:szCs w:val="16"/>
              </w:rPr>
              <w:instrText>92.2) mmHg vs (423.2</w:instrText>
            </w:r>
            <w:r w:rsidR="0068463B">
              <w:rPr>
                <w:rFonts w:cs="Palatino Linotype"/>
                <w:bCs/>
                <w:snapToGrid/>
                <w:color w:val="auto"/>
                <w:sz w:val="16"/>
                <w:szCs w:val="16"/>
              </w:rPr>
              <w:instrText>±</w:instrText>
            </w:r>
            <w:r w:rsidR="0068463B">
              <w:rPr>
                <w:bCs/>
                <w:snapToGrid/>
                <w:color w:val="auto"/>
                <w:sz w:val="16"/>
                <w:szCs w:val="16"/>
              </w:rPr>
              <w:instrText>90.7) mmHg, P&lt;0.001], T4 [(368.7</w:instrText>
            </w:r>
            <w:r w:rsidR="0068463B">
              <w:rPr>
                <w:rFonts w:cs="Palatino Linotype"/>
                <w:bCs/>
                <w:snapToGrid/>
                <w:color w:val="auto"/>
                <w:sz w:val="16"/>
                <w:szCs w:val="16"/>
              </w:rPr>
              <w:instrText>±</w:instrText>
            </w:r>
            <w:r w:rsidR="0068463B">
              <w:rPr>
                <w:bCs/>
                <w:snapToGrid/>
                <w:color w:val="auto"/>
                <w:sz w:val="16"/>
                <w:szCs w:val="16"/>
              </w:rPr>
              <w:instrText>42.0) mmHg vs (339.5</w:instrText>
            </w:r>
            <w:r w:rsidR="0068463B">
              <w:rPr>
                <w:rFonts w:cs="Palatino Linotype"/>
                <w:bCs/>
                <w:snapToGrid/>
                <w:color w:val="auto"/>
                <w:sz w:val="16"/>
                <w:szCs w:val="16"/>
              </w:rPr>
              <w:instrText>±</w:instrText>
            </w:r>
            <w:r w:rsidR="0068463B">
              <w:rPr>
                <w:bCs/>
                <w:snapToGrid/>
                <w:color w:val="auto"/>
                <w:sz w:val="16"/>
                <w:szCs w:val="16"/>
              </w:rPr>
              <w:instrText xml:space="preserve">54.9) mmHg, P=0.024]. Conclusion The individualized PEEP setting guided by EIT can reduce the incidence of hypoxemia in elderly patients undergoing robot assisted radical prostatectomy in PACU.","archive_location":"CN-02613242","container-title":"Zhonghua yi xue za zhi","DOI":"10.3760/cma.j.cn112137-20220415-00818","issue":"47","journalAbbreviation":"Zhonghua yi xue za zhi","page":"3727‐3733","title":"Effect of EIT-guided individualized PEEP setting on the incidence of hypoxemia in elderly patients undergoing robot-assisted radical prostatectomy","volume":"102","author":[{"family":"Pan","given":"LL"},{"family":"Gao","given":"LL"},{"family":"Yang","given":"L"},{"family":"Pan","given":"CX"},{"family":"Yin","given":"YH"},{"family":"Zhu","given":"Y"},{"family":"Zhang","given":"J"}],"issued":{"date-parts":[["2022"]]}}}],"schema":"https://github.com/citation-style-language/schema/raw/master/csl-citation.json"} </w:instrText>
            </w:r>
            <w:r w:rsidR="00EB618D" w:rsidRPr="00483D15">
              <w:rPr>
                <w:bCs/>
                <w:snapToGrid/>
                <w:color w:val="auto"/>
                <w:sz w:val="16"/>
                <w:szCs w:val="16"/>
              </w:rPr>
              <w:fldChar w:fldCharType="separate"/>
            </w:r>
            <w:r w:rsidR="0068463B" w:rsidRPr="0068463B">
              <w:rPr>
                <w:sz w:val="16"/>
              </w:rPr>
              <w:t>[58]</w:t>
            </w:r>
            <w:r w:rsidR="00EB618D" w:rsidRPr="00483D15">
              <w:rPr>
                <w:bCs/>
                <w:snapToGrid/>
                <w:color w:val="auto"/>
                <w:sz w:val="16"/>
                <w:szCs w:val="16"/>
              </w:rPr>
              <w:fldChar w:fldCharType="end"/>
            </w:r>
          </w:p>
        </w:tc>
        <w:tc>
          <w:tcPr>
            <w:tcW w:w="976" w:type="dxa"/>
            <w:tcBorders>
              <w:top w:val="single" w:sz="4" w:space="0" w:color="auto"/>
              <w:bottom w:val="single" w:sz="4" w:space="0" w:color="auto"/>
            </w:tcBorders>
            <w:vAlign w:val="center"/>
          </w:tcPr>
          <w:p w14:paraId="6F1181D2"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26/26</w:t>
            </w:r>
          </w:p>
        </w:tc>
        <w:tc>
          <w:tcPr>
            <w:tcW w:w="3348" w:type="dxa"/>
            <w:tcBorders>
              <w:top w:val="single" w:sz="4" w:space="0" w:color="auto"/>
              <w:bottom w:val="single" w:sz="4" w:space="0" w:color="auto"/>
            </w:tcBorders>
            <w:vAlign w:val="center"/>
          </w:tcPr>
          <w:p w14:paraId="0DAE4B9B"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robot-assisted prostate surgery</w:t>
            </w:r>
          </w:p>
        </w:tc>
        <w:tc>
          <w:tcPr>
            <w:tcW w:w="1521" w:type="dxa"/>
            <w:tcBorders>
              <w:top w:val="single" w:sz="4" w:space="0" w:color="auto"/>
              <w:bottom w:val="single" w:sz="4" w:space="0" w:color="auto"/>
            </w:tcBorders>
            <w:vAlign w:val="center"/>
          </w:tcPr>
          <w:p w14:paraId="72972597"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EIT-guided</w:t>
            </w:r>
          </w:p>
        </w:tc>
        <w:tc>
          <w:tcPr>
            <w:tcW w:w="959" w:type="dxa"/>
            <w:tcBorders>
              <w:top w:val="single" w:sz="4" w:space="0" w:color="auto"/>
              <w:bottom w:val="single" w:sz="4" w:space="0" w:color="auto"/>
            </w:tcBorders>
            <w:vAlign w:val="center"/>
          </w:tcPr>
          <w:p w14:paraId="2B89F91C"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5</w:t>
            </w:r>
          </w:p>
        </w:tc>
      </w:tr>
      <w:tr w:rsidR="00606986" w:rsidRPr="00483D15" w14:paraId="491BDA8D" w14:textId="77777777" w:rsidTr="00E6266E">
        <w:trPr>
          <w:trHeight w:val="465"/>
          <w:jc w:val="center"/>
        </w:trPr>
        <w:tc>
          <w:tcPr>
            <w:tcW w:w="1701" w:type="dxa"/>
            <w:tcBorders>
              <w:top w:val="single" w:sz="4" w:space="0" w:color="auto"/>
              <w:bottom w:val="single" w:sz="4" w:space="0" w:color="auto"/>
            </w:tcBorders>
            <w:vAlign w:val="center"/>
          </w:tcPr>
          <w:p w14:paraId="4730CFCD" w14:textId="44AA6360"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lastRenderedPageBreak/>
              <w:t>Pereira et al., 2018</w:t>
            </w:r>
            <w:r w:rsidR="00EB618D" w:rsidRPr="00483D15">
              <w:rPr>
                <w:bCs/>
                <w:snapToGrid/>
                <w:color w:val="auto"/>
                <w:sz w:val="16"/>
                <w:szCs w:val="16"/>
              </w:rPr>
              <w:fldChar w:fldCharType="begin"/>
            </w:r>
            <w:r w:rsidR="00320A1A">
              <w:rPr>
                <w:bCs/>
                <w:snapToGrid/>
                <w:color w:val="auto"/>
                <w:sz w:val="16"/>
                <w:szCs w:val="16"/>
              </w:rPr>
              <w:instrText xml:space="preserve"> ADDIN ZOTERO_ITEM CSL_CITATION {"citationID":"vamDGVDo","properties":{"formattedCitation":"[1]","plainCitation":"[1]","noteIndex":0},"citationItems":[{"id":147,"uris":["http://zotero.org/users/local/L5HAWlIW/items/A8UQPRVS"],"itemData":{"id":147,"type":"article-journal","abstract":"Editor’s PerspectiveWhat We Already Know about This TopicIn patients with adult respiratory distress syndrome, physiologic tidal volume and positive end-expiratory pressure (PEEP) are protectiveIn patients without lung diseases undergoing mechanical ventilation under general anesthesia, optimal PEEP","container-title":"Anesthesiology","DOI":"10.1097/aln.0000000000002435","issue":"6","note":"publisher: Lippincott Williams and Wilkins","page":"1070-1081","title":"Individual Positive End-expiratory Pressure Settings Optimize Intraoperative Mechanical Ventilation and Reduce Postoperative Atelectasis","volume":"129","author":[{"family":"Pereira","given":"Sérgio; Tucci","suffix":"Mauro R.; Morais, Caio C. A.; Simões, Claudia Marquez; Tonelotto, Bruno Francisco Freitas; Pompeo, Michel S.; Kay, Fernando Uliana; Pelosi, Paolo; Vieira, Joaquim Edson; Amato, Marcelo B. P."}],"issued":{"date-parts":[["2018"]]}}}],"schema":"https://github.com/citation-style-language/schema/raw/master/csl-citation.json"} </w:instrText>
            </w:r>
            <w:r w:rsidR="00EB618D" w:rsidRPr="00483D15">
              <w:rPr>
                <w:bCs/>
                <w:snapToGrid/>
                <w:color w:val="auto"/>
                <w:sz w:val="16"/>
                <w:szCs w:val="16"/>
              </w:rPr>
              <w:fldChar w:fldCharType="separate"/>
            </w:r>
            <w:r w:rsidR="00320A1A" w:rsidRPr="00320A1A">
              <w:rPr>
                <w:sz w:val="16"/>
              </w:rPr>
              <w:t>[1]</w:t>
            </w:r>
            <w:r w:rsidR="00EB618D" w:rsidRPr="00483D15">
              <w:rPr>
                <w:bCs/>
                <w:snapToGrid/>
                <w:color w:val="auto"/>
                <w:sz w:val="16"/>
                <w:szCs w:val="16"/>
              </w:rPr>
              <w:fldChar w:fldCharType="end"/>
            </w:r>
          </w:p>
        </w:tc>
        <w:tc>
          <w:tcPr>
            <w:tcW w:w="976" w:type="dxa"/>
            <w:tcBorders>
              <w:top w:val="single" w:sz="4" w:space="0" w:color="auto"/>
              <w:bottom w:val="single" w:sz="4" w:space="0" w:color="auto"/>
            </w:tcBorders>
            <w:vAlign w:val="center"/>
          </w:tcPr>
          <w:p w14:paraId="36A0CE27"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20/20</w:t>
            </w:r>
          </w:p>
        </w:tc>
        <w:tc>
          <w:tcPr>
            <w:tcW w:w="3348" w:type="dxa"/>
            <w:tcBorders>
              <w:top w:val="single" w:sz="4" w:space="0" w:color="auto"/>
              <w:bottom w:val="single" w:sz="4" w:space="0" w:color="auto"/>
            </w:tcBorders>
            <w:vAlign w:val="center"/>
          </w:tcPr>
          <w:p w14:paraId="52119079" w14:textId="77777777" w:rsidR="000031F6" w:rsidRPr="00483D15" w:rsidRDefault="000031F6" w:rsidP="000031F6">
            <w:pPr>
              <w:pStyle w:val="MDPI42tablebody"/>
              <w:spacing w:line="240" w:lineRule="auto"/>
              <w:rPr>
                <w:bCs/>
                <w:snapToGrid/>
                <w:color w:val="auto"/>
                <w:sz w:val="16"/>
                <w:szCs w:val="16"/>
              </w:rPr>
            </w:pPr>
            <w:proofErr w:type="gramStart"/>
            <w:r w:rsidRPr="00483D15">
              <w:rPr>
                <w:bCs/>
                <w:snapToGrid/>
                <w:color w:val="auto"/>
                <w:sz w:val="16"/>
                <w:szCs w:val="16"/>
              </w:rPr>
              <w:t>laparoscopic</w:t>
            </w:r>
            <w:proofErr w:type="gramEnd"/>
            <w:r w:rsidRPr="00483D15">
              <w:rPr>
                <w:bCs/>
                <w:snapToGrid/>
                <w:color w:val="auto"/>
                <w:sz w:val="16"/>
                <w:szCs w:val="16"/>
              </w:rPr>
              <w:t xml:space="preserve"> and open-abdominal surgeries</w:t>
            </w:r>
          </w:p>
        </w:tc>
        <w:tc>
          <w:tcPr>
            <w:tcW w:w="1521" w:type="dxa"/>
            <w:tcBorders>
              <w:top w:val="single" w:sz="4" w:space="0" w:color="auto"/>
              <w:bottom w:val="single" w:sz="4" w:space="0" w:color="auto"/>
            </w:tcBorders>
            <w:vAlign w:val="center"/>
          </w:tcPr>
          <w:p w14:paraId="06E057CA"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EIT-guided</w:t>
            </w:r>
          </w:p>
        </w:tc>
        <w:tc>
          <w:tcPr>
            <w:tcW w:w="959" w:type="dxa"/>
            <w:tcBorders>
              <w:top w:val="single" w:sz="4" w:space="0" w:color="auto"/>
              <w:bottom w:val="single" w:sz="4" w:space="0" w:color="auto"/>
            </w:tcBorders>
            <w:vAlign w:val="center"/>
          </w:tcPr>
          <w:p w14:paraId="67948E16"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4</w:t>
            </w:r>
          </w:p>
        </w:tc>
      </w:tr>
      <w:tr w:rsidR="00606986" w:rsidRPr="00483D15" w14:paraId="490A4674" w14:textId="77777777" w:rsidTr="00E6266E">
        <w:trPr>
          <w:trHeight w:val="465"/>
          <w:jc w:val="center"/>
        </w:trPr>
        <w:tc>
          <w:tcPr>
            <w:tcW w:w="1701" w:type="dxa"/>
            <w:tcBorders>
              <w:top w:val="single" w:sz="4" w:space="0" w:color="auto"/>
              <w:bottom w:val="single" w:sz="4" w:space="0" w:color="auto"/>
            </w:tcBorders>
            <w:vAlign w:val="center"/>
          </w:tcPr>
          <w:p w14:paraId="4C9C3707" w14:textId="32A07D3A" w:rsidR="000031F6" w:rsidRPr="00483D15" w:rsidRDefault="000031F6" w:rsidP="000031F6">
            <w:pPr>
              <w:pStyle w:val="MDPI42tablebody"/>
              <w:spacing w:line="240" w:lineRule="auto"/>
              <w:rPr>
                <w:bCs/>
                <w:snapToGrid/>
                <w:color w:val="auto"/>
                <w:sz w:val="16"/>
                <w:szCs w:val="16"/>
              </w:rPr>
            </w:pPr>
            <w:proofErr w:type="spellStart"/>
            <w:r w:rsidRPr="00483D15">
              <w:rPr>
                <w:bCs/>
                <w:snapToGrid/>
                <w:color w:val="auto"/>
                <w:sz w:val="16"/>
                <w:szCs w:val="16"/>
              </w:rPr>
              <w:t>Piriyapatsom</w:t>
            </w:r>
            <w:proofErr w:type="spellEnd"/>
            <w:r w:rsidRPr="00483D15">
              <w:rPr>
                <w:bCs/>
                <w:snapToGrid/>
                <w:color w:val="auto"/>
                <w:sz w:val="16"/>
                <w:szCs w:val="16"/>
              </w:rPr>
              <w:t xml:space="preserve"> et al., 2020</w:t>
            </w:r>
            <w:r w:rsidR="00EB618D" w:rsidRPr="00483D15">
              <w:rPr>
                <w:bCs/>
                <w:snapToGrid/>
                <w:color w:val="auto"/>
                <w:sz w:val="16"/>
                <w:szCs w:val="16"/>
              </w:rPr>
              <w:fldChar w:fldCharType="begin"/>
            </w:r>
            <w:r w:rsidR="00B12458">
              <w:rPr>
                <w:bCs/>
                <w:snapToGrid/>
                <w:color w:val="auto"/>
                <w:sz w:val="16"/>
                <w:szCs w:val="16"/>
              </w:rPr>
              <w:instrText xml:space="preserve"> ADDIN ZOTERO_ITEM CSL_CITATION {"citationID":"g3NISGXv","properties":{"formattedCitation":"[59]","plainCitation":"[59]","noteIndex":0},"citationItems":[{"id":168,"uris":["http://zotero.org/users/local/L5HAWlIW/items/67NQ5YJS"],"itemData":{"id":168,"type":"article-journal","abstract":"BACKGROUND The creation of pneumoperitoneum during laparoscopic surgery can lead to adverse effects on the respiratory system. Positive end-expiratory pressure (PEEP) plays an important role in mechanical ventilation during laparoscopic surgery. OBJECTIVE To evaluate whether PEEP setting guided by oesophageal pressure (Poeso) measurement would affect oxygenation and respiratory mechanics during laparoscopic gynaecological surgery. DESIGN A randomised controlled study. SETTING A single-centre trial from March 2018 to June 2018. PATIENTS Forty-four adult patients undergoing laparoscopic gynaecological surgery with anticipated duration of surgery more than 2 h. INTERVENTION PEEP set according to Poeso measurement (intervention group) versus PEEP constantly set at 5 cmH2O (control group). MAIN OUTCOME MEASURES Gas exchange and respiratory mechanics after induction and intubation (T0) and at 15 and 60 min after initiation of pneumoperitoneum (T1 and T2, respectively). RESULTS PEEP during pneumoperitoneum was significantly higher in the intervention group than in the control group (T1, 12.5 ± 1.9 vs. 5.0 ± 0.0 cmH2O and T2, 12.4 ± 1.9 vs. 5.0 ± 0.0 cmH2O, both P &lt; 0.001). Partial pressures of oxygen decreased significantly from baseline during pneumoperitoneum in the control group but not in the intervention group. Nevertheless, the changes in partial pressures of oxygen did not differ between groups. Compliance of the respiratory system (CRS) significantly decreased and driving pressure significantly increased during pneumoperitoneum in both groups. However, the changes in CRS and driving pressure were significantly less in the intervention group. Transpulmonary pressure during expiration was maintained in the intervention group while it decreased significantly in the control group. CONCLUSION PEEP setting guided by Poeso measurement showed no beneficial effects in terms of oxygenation but respiratory mechanics were better during laparoscopic gynaecological surgery. TRIAL REGISTRATION ClinicalTrials.gov identifier: NCT03256396.","container-title":"European journal of anaesthesiology","DOI":"10.1097/eja.0000000000001204","issue":"11","note":"publisher: Wolters Kluwer Health","page":"1032-1039","title":"Effects of intra-operative positive end-expiratory pressure setting guided by oesophageal pressure measurement on oxygenation and respiratory mechanics during laparoscopic gynaecological surgery: A randomised controlled trial.","volume":"37","author":[{"family":"Piriyapatsom","given":"Annop; Phetkampang","suffix":"Sanchai"}],"issued":{"date-parts":[["2020"]]}}}],"schema":"https://github.com/citation-style-language/schema/raw/master/csl-citation.json"} </w:instrText>
            </w:r>
            <w:r w:rsidR="00EB618D" w:rsidRPr="00483D15">
              <w:rPr>
                <w:bCs/>
                <w:snapToGrid/>
                <w:color w:val="auto"/>
                <w:sz w:val="16"/>
                <w:szCs w:val="16"/>
              </w:rPr>
              <w:fldChar w:fldCharType="separate"/>
            </w:r>
            <w:r w:rsidR="00B12458" w:rsidRPr="00B12458">
              <w:rPr>
                <w:sz w:val="16"/>
              </w:rPr>
              <w:t>[59]</w:t>
            </w:r>
            <w:r w:rsidR="00EB618D" w:rsidRPr="00483D15">
              <w:rPr>
                <w:bCs/>
                <w:snapToGrid/>
                <w:color w:val="auto"/>
                <w:sz w:val="16"/>
                <w:szCs w:val="16"/>
              </w:rPr>
              <w:fldChar w:fldCharType="end"/>
            </w:r>
          </w:p>
        </w:tc>
        <w:tc>
          <w:tcPr>
            <w:tcW w:w="976" w:type="dxa"/>
            <w:tcBorders>
              <w:top w:val="single" w:sz="4" w:space="0" w:color="auto"/>
              <w:bottom w:val="single" w:sz="4" w:space="0" w:color="auto"/>
            </w:tcBorders>
            <w:vAlign w:val="center"/>
          </w:tcPr>
          <w:p w14:paraId="1FF7DF49"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22/22</w:t>
            </w:r>
          </w:p>
        </w:tc>
        <w:tc>
          <w:tcPr>
            <w:tcW w:w="3348" w:type="dxa"/>
            <w:tcBorders>
              <w:top w:val="single" w:sz="4" w:space="0" w:color="auto"/>
              <w:bottom w:val="single" w:sz="4" w:space="0" w:color="auto"/>
            </w:tcBorders>
            <w:vAlign w:val="center"/>
          </w:tcPr>
          <w:p w14:paraId="033DC1E6" w14:textId="77777777" w:rsidR="000031F6" w:rsidRPr="00483D15" w:rsidRDefault="000031F6" w:rsidP="000031F6">
            <w:pPr>
              <w:autoSpaceDE w:val="0"/>
              <w:autoSpaceDN w:val="0"/>
              <w:adjustRightInd w:val="0"/>
              <w:spacing w:line="240" w:lineRule="auto"/>
              <w:jc w:val="center"/>
              <w:rPr>
                <w:rFonts w:eastAsia="Times New Roman"/>
                <w:bCs/>
                <w:snapToGrid w:val="0"/>
                <w:sz w:val="16"/>
                <w:szCs w:val="16"/>
                <w:lang w:val="en-US" w:eastAsia="de-DE"/>
              </w:rPr>
            </w:pPr>
            <w:r w:rsidRPr="00483D15">
              <w:rPr>
                <w:rFonts w:eastAsia="Times New Roman"/>
                <w:bCs/>
                <w:sz w:val="16"/>
                <w:szCs w:val="16"/>
                <w:lang w:val="en-US" w:eastAsia="de-DE" w:bidi="en-US"/>
              </w:rPr>
              <w:t xml:space="preserve">laparoscopic </w:t>
            </w:r>
            <w:proofErr w:type="spellStart"/>
            <w:r w:rsidRPr="00483D15">
              <w:rPr>
                <w:rFonts w:eastAsia="Times New Roman"/>
                <w:bCs/>
                <w:snapToGrid w:val="0"/>
                <w:sz w:val="16"/>
                <w:szCs w:val="16"/>
                <w:lang w:val="en-US" w:eastAsia="de-DE"/>
              </w:rPr>
              <w:t>gynaecological</w:t>
            </w:r>
            <w:proofErr w:type="spellEnd"/>
            <w:r w:rsidRPr="00483D15">
              <w:rPr>
                <w:rFonts w:eastAsia="Times New Roman"/>
                <w:bCs/>
                <w:snapToGrid w:val="0"/>
                <w:sz w:val="16"/>
                <w:szCs w:val="16"/>
                <w:lang w:val="en-US" w:eastAsia="de-DE"/>
              </w:rPr>
              <w:t xml:space="preserve"> surgery</w:t>
            </w:r>
          </w:p>
        </w:tc>
        <w:tc>
          <w:tcPr>
            <w:tcW w:w="1521" w:type="dxa"/>
            <w:tcBorders>
              <w:top w:val="single" w:sz="4" w:space="0" w:color="auto"/>
              <w:bottom w:val="single" w:sz="4" w:space="0" w:color="auto"/>
            </w:tcBorders>
            <w:vAlign w:val="center"/>
          </w:tcPr>
          <w:p w14:paraId="734447E1" w14:textId="77777777" w:rsidR="000031F6" w:rsidRPr="00483D15" w:rsidRDefault="000031F6" w:rsidP="000031F6">
            <w:pPr>
              <w:pStyle w:val="MDPI42tablebody"/>
              <w:spacing w:line="240" w:lineRule="auto"/>
              <w:rPr>
                <w:bCs/>
                <w:snapToGrid/>
                <w:color w:val="auto"/>
                <w:sz w:val="16"/>
                <w:szCs w:val="16"/>
              </w:rPr>
            </w:pPr>
            <w:proofErr w:type="spellStart"/>
            <w:r w:rsidRPr="00483D15">
              <w:rPr>
                <w:bCs/>
                <w:snapToGrid/>
                <w:color w:val="auto"/>
                <w:sz w:val="16"/>
                <w:szCs w:val="16"/>
              </w:rPr>
              <w:t>Ptp</w:t>
            </w:r>
            <w:proofErr w:type="spellEnd"/>
            <w:r w:rsidRPr="00483D15">
              <w:rPr>
                <w:bCs/>
                <w:snapToGrid/>
                <w:color w:val="auto"/>
                <w:sz w:val="16"/>
                <w:szCs w:val="16"/>
              </w:rPr>
              <w:t xml:space="preserve"> guided</w:t>
            </w:r>
          </w:p>
        </w:tc>
        <w:tc>
          <w:tcPr>
            <w:tcW w:w="959" w:type="dxa"/>
            <w:tcBorders>
              <w:top w:val="single" w:sz="4" w:space="0" w:color="auto"/>
              <w:bottom w:val="single" w:sz="4" w:space="0" w:color="auto"/>
            </w:tcBorders>
            <w:vAlign w:val="center"/>
          </w:tcPr>
          <w:p w14:paraId="1D866CD7"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5</w:t>
            </w:r>
          </w:p>
        </w:tc>
      </w:tr>
      <w:tr w:rsidR="00606986" w:rsidRPr="00483D15" w14:paraId="6FC8356E" w14:textId="77777777" w:rsidTr="00E96E88">
        <w:trPr>
          <w:trHeight w:val="465"/>
          <w:jc w:val="center"/>
        </w:trPr>
        <w:tc>
          <w:tcPr>
            <w:tcW w:w="1701" w:type="dxa"/>
            <w:tcBorders>
              <w:top w:val="single" w:sz="4" w:space="0" w:color="auto"/>
              <w:bottom w:val="single" w:sz="4" w:space="0" w:color="auto"/>
            </w:tcBorders>
            <w:vAlign w:val="center"/>
          </w:tcPr>
          <w:p w14:paraId="2A3D9B85" w14:textId="6901DA2D"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Ruszkai et al., 2021</w:t>
            </w:r>
            <w:r w:rsidR="00EB618D" w:rsidRPr="00483D15">
              <w:rPr>
                <w:bCs/>
                <w:snapToGrid/>
                <w:color w:val="auto"/>
                <w:sz w:val="16"/>
                <w:szCs w:val="16"/>
              </w:rPr>
              <w:fldChar w:fldCharType="begin"/>
            </w:r>
            <w:r w:rsidR="00320A1A">
              <w:rPr>
                <w:bCs/>
                <w:snapToGrid/>
                <w:color w:val="auto"/>
                <w:sz w:val="16"/>
                <w:szCs w:val="16"/>
              </w:rPr>
              <w:instrText xml:space="preserve"> ADDIN ZOTERO_ITEM CSL_CITATION {"citationID":"mMTphRsf","properties":{"formattedCitation":"[6]","plainCitation":"[6]","noteIndex":0},"citationItems":[{"id":167,"uris":["http://zotero.org/users/local/L5HAWlIW/items/53VQRNW3"],"itemData":{"id":167,"type":"article-journal","abstract":"Applying lung protective mechanical ventilation (LPV) during general anaesthesia even in patients with non-injured lungs is recommended. However, the effects of an individual PEEP-optimisation on respiratory mechanics, oxygenation and their potential correlation with the inflammatory response and postoperative complications have not been evaluated have not been compared to standard LPV in patients undergoing major abdominal surgery. Thirty-nine patients undergoing open radical cystectomy were enrolled in this study. In the study group (SG) optimal PEEP was determined by a decremental titration procedure and defined as the PEEP value resulting the highest static pulmonary compliance. In the control group (CG) PEEP was set to 6 cmH2O. Primary endpoints were intraoperative respiratory mechanics and gas exchange parameters. Secondary outcomes were perioperative procalcitonin kinetics and postoperative pulmonary complications. Optimal PEEP levels (median = 10, range: 8–14 cmH2O), PaO2/FiO2 (451.24 ± 121.78 mmHg vs. 404.15 ± 115.87 mmHg, P = 0.005) and static pulmonary compliance (52.54 ± 13.59 ml cmH2O-1 vs. 45.22 ± 9.13 ml cmH2O-1, P &lt; 0.0001) were significantly higher, while driving pressure (8.26 ± 1.74 cmH2O vs. 9.73 ± 4.02 cmH2O, P &lt; 0.0001) was significantly lower in the SG as compared to the CG. No significant intergroup differences were found in procalcitonin kinetics (P = 0.076). Composite outcome results indicated a non-significant reduction of postoperative complications in the SG. Intraoperative PEEP-optimization resulted in significant improvement in gas exchange and pulmonary mechanics as compared to standard LPV. Whether these have any effect on short and long term outcomes require further investigations. Trial registration: Clinicaltrials.gov, identifier: NCT02931409.","container-title":"Journal of clinical monitoring and computing","DOI":"10.1007/s10877-020-00519-6","issue":"3","note":"publisher: Springer Netherlands","page":"469-482","title":"Effects of intraoperative positive end-expiratory pressure optimization on respiratory mechanics and the inflammatory response: a randomized controlled trial","volume":"35","author":[{"family":"Ruszkai","given":"Zoltán; Kiss","suffix":"Erika; László, Ildikó; Bokrétás, Gergely Péter; Vizserálek, Dóra; Vámossy, Ildikó; Surány, Erika; Buzogány, István; Bajory, Zoltán; Molnár, Zsolt"}],"issued":{"date-parts":[["2020"]]}}}],"schema":"https://github.com/citation-style-language/schema/raw/master/csl-citation.json"} </w:instrText>
            </w:r>
            <w:r w:rsidR="00EB618D" w:rsidRPr="00483D15">
              <w:rPr>
                <w:bCs/>
                <w:snapToGrid/>
                <w:color w:val="auto"/>
                <w:sz w:val="16"/>
                <w:szCs w:val="16"/>
              </w:rPr>
              <w:fldChar w:fldCharType="separate"/>
            </w:r>
            <w:r w:rsidR="00320A1A" w:rsidRPr="00320A1A">
              <w:rPr>
                <w:sz w:val="16"/>
              </w:rPr>
              <w:t>[6]</w:t>
            </w:r>
            <w:r w:rsidR="00EB618D" w:rsidRPr="00483D15">
              <w:rPr>
                <w:bCs/>
                <w:snapToGrid/>
                <w:color w:val="auto"/>
                <w:sz w:val="16"/>
                <w:szCs w:val="16"/>
              </w:rPr>
              <w:fldChar w:fldCharType="end"/>
            </w:r>
          </w:p>
        </w:tc>
        <w:tc>
          <w:tcPr>
            <w:tcW w:w="976" w:type="dxa"/>
            <w:tcBorders>
              <w:top w:val="single" w:sz="4" w:space="0" w:color="auto"/>
              <w:bottom w:val="single" w:sz="4" w:space="0" w:color="auto"/>
            </w:tcBorders>
            <w:vAlign w:val="center"/>
          </w:tcPr>
          <w:p w14:paraId="18840CD1"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15/15</w:t>
            </w:r>
          </w:p>
        </w:tc>
        <w:tc>
          <w:tcPr>
            <w:tcW w:w="3348" w:type="dxa"/>
            <w:tcBorders>
              <w:top w:val="single" w:sz="4" w:space="0" w:color="auto"/>
              <w:bottom w:val="single" w:sz="4" w:space="0" w:color="auto"/>
            </w:tcBorders>
            <w:vAlign w:val="center"/>
          </w:tcPr>
          <w:p w14:paraId="1CEC7D0D"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open radical cystectomy</w:t>
            </w:r>
          </w:p>
        </w:tc>
        <w:tc>
          <w:tcPr>
            <w:tcW w:w="1521" w:type="dxa"/>
            <w:tcBorders>
              <w:top w:val="single" w:sz="4" w:space="0" w:color="auto"/>
              <w:bottom w:val="single" w:sz="4" w:space="0" w:color="auto"/>
            </w:tcBorders>
            <w:vAlign w:val="center"/>
          </w:tcPr>
          <w:p w14:paraId="37862E5F"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Cstat-guided</w:t>
            </w:r>
          </w:p>
        </w:tc>
        <w:tc>
          <w:tcPr>
            <w:tcW w:w="959" w:type="dxa"/>
            <w:tcBorders>
              <w:top w:val="single" w:sz="4" w:space="0" w:color="auto"/>
              <w:bottom w:val="single" w:sz="4" w:space="0" w:color="auto"/>
            </w:tcBorders>
            <w:vAlign w:val="center"/>
          </w:tcPr>
          <w:p w14:paraId="31ADB367"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6</w:t>
            </w:r>
          </w:p>
        </w:tc>
      </w:tr>
      <w:tr w:rsidR="00606986" w:rsidRPr="00483D15" w14:paraId="7470817C" w14:textId="77777777" w:rsidTr="00E96E88">
        <w:trPr>
          <w:trHeight w:val="465"/>
          <w:jc w:val="center"/>
        </w:trPr>
        <w:tc>
          <w:tcPr>
            <w:tcW w:w="1701" w:type="dxa"/>
            <w:tcBorders>
              <w:top w:val="single" w:sz="4" w:space="0" w:color="auto"/>
              <w:bottom w:val="single" w:sz="4" w:space="0" w:color="auto"/>
            </w:tcBorders>
            <w:vAlign w:val="center"/>
          </w:tcPr>
          <w:p w14:paraId="6EB6B3F2" w14:textId="73FCE036"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Salama et al., 2023</w:t>
            </w:r>
            <w:r w:rsidR="00EB618D" w:rsidRPr="00483D15">
              <w:rPr>
                <w:bCs/>
                <w:snapToGrid/>
                <w:color w:val="auto"/>
                <w:sz w:val="16"/>
                <w:szCs w:val="16"/>
              </w:rPr>
              <w:fldChar w:fldCharType="begin"/>
            </w:r>
            <w:r w:rsidR="005E466F">
              <w:rPr>
                <w:bCs/>
                <w:snapToGrid/>
                <w:color w:val="auto"/>
                <w:sz w:val="16"/>
                <w:szCs w:val="16"/>
              </w:rPr>
              <w:instrText xml:space="preserve"> ADDIN ZOTERO_ITEM CSL_CITATION {"citationID":"b7Md4lgG","properties":{"formattedCitation":"[60]","plainCitation":"[60]","noteIndex":0},"citationItems":[{"id":1566,"uris":["http://zotero.org/users/local/L5HAWlIW/items/5KHQPKBX"],"itemData":{"id":1566,"type":"article-journal","container-title":"Egyptian Journal of Anaesthesia","DOI":"10.1080/11101849.2023.2230050","ISSN":"1110-1849","issue":"1","journalAbbreviation":"Egyptian Journal of Anaesthesia","language":"en","page":"496-501","source":"DOI.org (Crossref)","title":"Effect of individualized intraoperative lung recruitment maneuver on postoperative pulmonary complications in patients undergoing upper abdominal surgeries under general anesthesia","volume":"39","author":[{"family":"Mohammad Salama","given":"Mohammad Elhossieny"},{"family":"El-Taher","given":"Ezzat Mohamed"},{"family":"Abdel-Rahman Al-Touny","given":"Ahmad Hamed"},{"family":"Ismail","given":"Reda Aboelmagd"},{"family":"Abdel-Ghaffar","given":"Mohamed Emad Eldin"}],"issued":{"date-parts":[["2023",12,31]]}}}],"schema":"https://github.com/citation-style-language/schema/raw/master/csl-citation.json"} </w:instrText>
            </w:r>
            <w:r w:rsidR="00EB618D" w:rsidRPr="00483D15">
              <w:rPr>
                <w:bCs/>
                <w:snapToGrid/>
                <w:color w:val="auto"/>
                <w:sz w:val="16"/>
                <w:szCs w:val="16"/>
              </w:rPr>
              <w:fldChar w:fldCharType="separate"/>
            </w:r>
            <w:r w:rsidR="005E466F" w:rsidRPr="005E466F">
              <w:rPr>
                <w:sz w:val="16"/>
              </w:rPr>
              <w:t>[60]</w:t>
            </w:r>
            <w:r w:rsidR="00EB618D" w:rsidRPr="00483D15">
              <w:rPr>
                <w:bCs/>
                <w:snapToGrid/>
                <w:color w:val="auto"/>
                <w:sz w:val="16"/>
                <w:szCs w:val="16"/>
              </w:rPr>
              <w:fldChar w:fldCharType="end"/>
            </w:r>
          </w:p>
        </w:tc>
        <w:tc>
          <w:tcPr>
            <w:tcW w:w="976" w:type="dxa"/>
            <w:tcBorders>
              <w:top w:val="single" w:sz="4" w:space="0" w:color="auto"/>
              <w:bottom w:val="single" w:sz="4" w:space="0" w:color="auto"/>
            </w:tcBorders>
            <w:vAlign w:val="center"/>
          </w:tcPr>
          <w:p w14:paraId="722235D6"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33/33</w:t>
            </w:r>
          </w:p>
        </w:tc>
        <w:tc>
          <w:tcPr>
            <w:tcW w:w="3348" w:type="dxa"/>
            <w:tcBorders>
              <w:top w:val="single" w:sz="4" w:space="0" w:color="auto"/>
              <w:bottom w:val="single" w:sz="4" w:space="0" w:color="auto"/>
            </w:tcBorders>
            <w:vAlign w:val="center"/>
          </w:tcPr>
          <w:p w14:paraId="25783460"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open abdominal surgery</w:t>
            </w:r>
          </w:p>
        </w:tc>
        <w:tc>
          <w:tcPr>
            <w:tcW w:w="1521" w:type="dxa"/>
            <w:tcBorders>
              <w:top w:val="single" w:sz="4" w:space="0" w:color="auto"/>
              <w:bottom w:val="single" w:sz="4" w:space="0" w:color="auto"/>
            </w:tcBorders>
            <w:vAlign w:val="center"/>
          </w:tcPr>
          <w:p w14:paraId="0F7E146E"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Cstat-guided</w:t>
            </w:r>
          </w:p>
        </w:tc>
        <w:tc>
          <w:tcPr>
            <w:tcW w:w="959" w:type="dxa"/>
            <w:tcBorders>
              <w:top w:val="single" w:sz="4" w:space="0" w:color="auto"/>
              <w:bottom w:val="single" w:sz="4" w:space="0" w:color="auto"/>
            </w:tcBorders>
            <w:vAlign w:val="center"/>
          </w:tcPr>
          <w:p w14:paraId="72E2735C"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5</w:t>
            </w:r>
          </w:p>
        </w:tc>
      </w:tr>
      <w:tr w:rsidR="00606986" w:rsidRPr="00483D15" w14:paraId="541AA2F2" w14:textId="77777777" w:rsidTr="00E96E88">
        <w:trPr>
          <w:trHeight w:val="465"/>
          <w:jc w:val="center"/>
        </w:trPr>
        <w:tc>
          <w:tcPr>
            <w:tcW w:w="1701" w:type="dxa"/>
            <w:tcBorders>
              <w:top w:val="single" w:sz="4" w:space="0" w:color="auto"/>
              <w:bottom w:val="single" w:sz="4" w:space="0" w:color="auto"/>
            </w:tcBorders>
            <w:vAlign w:val="center"/>
          </w:tcPr>
          <w:p w14:paraId="1B247600" w14:textId="50FB910B"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Van Hecke et al., 2019</w:t>
            </w:r>
            <w:r w:rsidR="00EB618D" w:rsidRPr="00483D15">
              <w:rPr>
                <w:bCs/>
                <w:snapToGrid/>
                <w:color w:val="auto"/>
                <w:sz w:val="16"/>
                <w:szCs w:val="16"/>
              </w:rPr>
              <w:fldChar w:fldCharType="begin"/>
            </w:r>
            <w:r w:rsidR="0086484D">
              <w:rPr>
                <w:bCs/>
                <w:snapToGrid/>
                <w:color w:val="auto"/>
                <w:sz w:val="16"/>
                <w:szCs w:val="16"/>
              </w:rPr>
              <w:instrText xml:space="preserve"> ADDIN ZOTERO_ITEM CSL_CITATION {"citationID":"VJDr9mvB","properties":{"formattedCitation":"[61]","plainCitation":"[61]","noteIndex":0},"citationItems":[{"id":28,"uris":["http://zotero.org/users/local/L5HAWlIW/items/BBD2PA7M"],"itemData":{"id":28,"type":"article-journal","container-title":"Obesity Surgery","DOI":"10.1007/s11695-018-03662-x","ISSN":"0960-8923, 1708-0428","issue":"4","journalAbbreviation":"OBES SURG","language":"en","note":"number: 4","page":"1268-1275","source":"DOI.org (Crossref)","title":"Does Lung Compliance Optimization Through PEEP Manipulations Reduce the Incidence of Postoperative Hypoxemia in Laparoscopic Bariatric Surgery? A Randomized Trial","title-short":"Does Lung Compliance Optimization Through PEEP Manipulations Reduce the Incidence of Postoperative Hypoxemia in Laparoscopic Bariatric Surgery?","volume":"29","author":[{"family":"Van Hecke","given":"Delphine"},{"family":"Bidgoli","given":"Javad S."},{"family":"Van der Linden","given":"Philippe"}],"issued":{"date-parts":[["2019",4]]}}}],"schema":"https://github.com/citation-style-language/schema/raw/master/csl-citation.json"} </w:instrText>
            </w:r>
            <w:r w:rsidR="00EB618D" w:rsidRPr="00483D15">
              <w:rPr>
                <w:bCs/>
                <w:snapToGrid/>
                <w:color w:val="auto"/>
                <w:sz w:val="16"/>
                <w:szCs w:val="16"/>
              </w:rPr>
              <w:fldChar w:fldCharType="separate"/>
            </w:r>
            <w:r w:rsidR="0086484D" w:rsidRPr="0086484D">
              <w:rPr>
                <w:sz w:val="16"/>
              </w:rPr>
              <w:t>[61]</w:t>
            </w:r>
            <w:r w:rsidR="00EB618D" w:rsidRPr="00483D15">
              <w:rPr>
                <w:bCs/>
                <w:snapToGrid/>
                <w:color w:val="auto"/>
                <w:sz w:val="16"/>
                <w:szCs w:val="16"/>
              </w:rPr>
              <w:fldChar w:fldCharType="end"/>
            </w:r>
          </w:p>
        </w:tc>
        <w:tc>
          <w:tcPr>
            <w:tcW w:w="976" w:type="dxa"/>
            <w:tcBorders>
              <w:top w:val="single" w:sz="4" w:space="0" w:color="auto"/>
              <w:bottom w:val="single" w:sz="4" w:space="0" w:color="auto"/>
            </w:tcBorders>
            <w:vAlign w:val="center"/>
          </w:tcPr>
          <w:p w14:paraId="60CF8C87"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50/50</w:t>
            </w:r>
          </w:p>
        </w:tc>
        <w:tc>
          <w:tcPr>
            <w:tcW w:w="3348" w:type="dxa"/>
            <w:tcBorders>
              <w:top w:val="single" w:sz="4" w:space="0" w:color="auto"/>
              <w:bottom w:val="single" w:sz="4" w:space="0" w:color="auto"/>
            </w:tcBorders>
            <w:vAlign w:val="center"/>
          </w:tcPr>
          <w:p w14:paraId="154F0F88"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laparoscopic bariatric surgery</w:t>
            </w:r>
          </w:p>
        </w:tc>
        <w:tc>
          <w:tcPr>
            <w:tcW w:w="1521" w:type="dxa"/>
            <w:tcBorders>
              <w:top w:val="single" w:sz="4" w:space="0" w:color="auto"/>
              <w:bottom w:val="single" w:sz="4" w:space="0" w:color="auto"/>
            </w:tcBorders>
            <w:vAlign w:val="center"/>
          </w:tcPr>
          <w:p w14:paraId="15138AE2"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Cdyn-guided</w:t>
            </w:r>
          </w:p>
        </w:tc>
        <w:tc>
          <w:tcPr>
            <w:tcW w:w="959" w:type="dxa"/>
            <w:tcBorders>
              <w:top w:val="single" w:sz="4" w:space="0" w:color="auto"/>
              <w:bottom w:val="single" w:sz="4" w:space="0" w:color="auto"/>
            </w:tcBorders>
            <w:vAlign w:val="center"/>
          </w:tcPr>
          <w:p w14:paraId="29C3B59A"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10</w:t>
            </w:r>
          </w:p>
        </w:tc>
      </w:tr>
      <w:tr w:rsidR="00606986" w:rsidRPr="00483D15" w14:paraId="140FD179" w14:textId="77777777" w:rsidTr="00E96E88">
        <w:trPr>
          <w:trHeight w:val="465"/>
          <w:jc w:val="center"/>
        </w:trPr>
        <w:tc>
          <w:tcPr>
            <w:tcW w:w="1701" w:type="dxa"/>
            <w:tcBorders>
              <w:top w:val="single" w:sz="4" w:space="0" w:color="auto"/>
              <w:bottom w:val="single" w:sz="4" w:space="0" w:color="auto"/>
            </w:tcBorders>
            <w:vAlign w:val="center"/>
          </w:tcPr>
          <w:p w14:paraId="1CE9FB21" w14:textId="089CDAF6"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Xavier et al., 2024</w:t>
            </w:r>
            <w:r w:rsidR="00EB618D" w:rsidRPr="00483D15">
              <w:rPr>
                <w:bCs/>
                <w:snapToGrid/>
                <w:color w:val="auto"/>
                <w:sz w:val="16"/>
                <w:szCs w:val="16"/>
              </w:rPr>
              <w:fldChar w:fldCharType="begin"/>
            </w:r>
            <w:r w:rsidR="009310B4">
              <w:rPr>
                <w:bCs/>
                <w:snapToGrid/>
                <w:color w:val="auto"/>
                <w:sz w:val="16"/>
                <w:szCs w:val="16"/>
              </w:rPr>
              <w:instrText xml:space="preserve"> ADDIN ZOTERO_ITEM CSL_CITATION {"citationID":"qVUiM6LD","properties":{"formattedCitation":"[62]","plainCitation":"[62]","noteIndex":0},"citationItems":[{"id":1564,"uris":["http://zotero.org/users/local/L5HAWlIW/items/FCGMMFJC"],"itemData":{"id":1564,"type":"article-journal","abstract":"Introduction\n              \n                During pneumoperitoneum (PNP), airway driving pressure (ΔP\n                RS\n                ) increases due to the stiffness of the chest wall and cephalic shift of the diaphragm, which favors atelectasis. In addition, depending on the mechanical power (MP) formulas, they may lead to different interpretations.\n              \n            \n            \n              Methods\n              \n                Patients &amp;gt;18 years of age with body mass index &amp;gt;35 kg/m\n                2\n                were included in a single-center randomized controlled trial during their admission for bariatric surgery by abdominal laparoscopy. Intra-abdominal pressure was set at 15 mmHg at the pneumoperitoneum time point (PNP). After the recruitment maneuver, the lowest respiratory system elastance (E\n                RS\n                ) was detected during the positive end-expiratory pressure (PEEP) step-wise decrement. Patients were randomized to the 1) CTRL group: ventilated with PEEP of 5 cmH\n                2\n                O and 2) PEEP\n                IND\n                group: ventilated with PEEP value associated with E\n                RS\n                that is 5% higher than its lowest level. Respiratory system mechanics and mean arterial pressure (MAP) were assessed at the PNP, 5 min after randomization (T1), and at the end of the ventilation protocol (T2); arterial blood gas was assessed at PNP and T2. ΔP\n                RS\n                was the primary outcome. Three MP formulas were used: MP\n                A\n                , which computes static PEEP × volume, elastic, and resistive components; MP\n                B\n                , which computes only the elastic component; and MP\n                C\n                , which computes static PEEP × volume, elastic, and resistive components without inspiratory holds.\n              \n            \n            \n              Results\n              \n                Twenty-eight patients were assessed for eligibility: eight were not included and 20 patients were randomized and allocated to CTRL and PEEP\n                IND\n                groups (\n                n\n                = 10/group). The PEEP\n                IND\n                ventilator strategy reduced ΔP\n                RS\n                when compared with the CTRL group (PEEP\n                IND\n                , 13 ± 2 cmH\n                2\n                O; CTRL, 22 ± 4 cmH\n                2\n                O;\n                p\n                &amp;lt; 0.001). Oxygenation improved in the PEEP\n                IND\n                group when compared with the CTRL group (\n                p\n                = 0.029), whereas MAP was comparable between the PEEP\n                IND\n                and CTRL groups. At the end of surgery, MP\n                A\n                and MP\n                B\n                were correlated in both the CTRL (rho = 0.71,\n                p\n                = 0.019) and PEEP\n                IND\n                (rho = 0.84,\n                p\n                = 0.020) groups but showed different bias (CTRL, −1.9 J/min; PEEP\n                IND\n                , +10.0 J/min). At the end of the surgery, MP\n                A\n                and MP\n                C\n                were correlated in both the CTRL (rho = 0.71,\n                p\n                = 0.019) and PEEP\n                IND\n                (rho = 0.84,\n                p\n                = 0.020) groups but showed different bias (CTRL, −1.9 J/min; PEEP\n                IND\n                , +10.0 J/min).\n              \n            \n            \n              Conclusion\n              \n                Individualized PEEP was associated with a reduction in ΔP\n                RS\n                and an improvement in oxygenation with comparable MAP. The MP, which solely computes the elastic component, better reflected the improvement in ΔP\n                RS\n                observed in the individualized PEEP group.\n              \n            \n            \n              Clinical Trial Registration:\n              The protocol was registered at the Brazilian Registry of Clinical Trials (U1111-1220-7296).","container-title":"Frontiers in Physiology","DOI":"10.3389/fphys.2024.1383167","ISSN":"1664-042X","journalAbbreviation":"Front. Physiol.","page":"1383167","source":"DOI.org (Crossref)","title":"Individualized positive end-expiratory pressure reduces driving pressure in obese patients during laparoscopic surgery under pneumoperitoneum: a randomized clinical trial","title-short":"Individualized positive end-expiratory pressure reduces driving pressure in obese patients during laparoscopic surgery under pneumoperitoneum","volume":"15","author":[{"family":"Xavier","given":"Tiago Batista"},{"family":"Coelho","given":"Leonardo Vicente"},{"family":"Ferreira","given":"Daniel Antonio Lopes"},{"family":"Cota Y Raposeiras","given":"José Manuel"},{"family":"Duran","given":"Marcelo Sampaio"},{"family":"Silva","given":"Leticia Almeida"},{"family":"Motta-Ribeiro","given":"Gabriel Casulari Da"},{"family":"Camilo","given":"Luciana Moisés"},{"family":"Carvalho","given":"Alysson Roncally Silva"},{"family":"Silva","given":"Pedro Leme"}],"issued":{"date-parts":[["2024",4,5]]}}}],"schema":"https://github.com/citation-style-language/schema/raw/master/csl-citation.json"} </w:instrText>
            </w:r>
            <w:r w:rsidR="00EB618D" w:rsidRPr="00483D15">
              <w:rPr>
                <w:bCs/>
                <w:snapToGrid/>
                <w:color w:val="auto"/>
                <w:sz w:val="16"/>
                <w:szCs w:val="16"/>
              </w:rPr>
              <w:fldChar w:fldCharType="separate"/>
            </w:r>
            <w:r w:rsidR="009310B4" w:rsidRPr="009310B4">
              <w:rPr>
                <w:sz w:val="16"/>
              </w:rPr>
              <w:t>[62]</w:t>
            </w:r>
            <w:r w:rsidR="00EB618D" w:rsidRPr="00483D15">
              <w:rPr>
                <w:bCs/>
                <w:snapToGrid/>
                <w:color w:val="auto"/>
                <w:sz w:val="16"/>
                <w:szCs w:val="16"/>
              </w:rPr>
              <w:fldChar w:fldCharType="end"/>
            </w:r>
          </w:p>
        </w:tc>
        <w:tc>
          <w:tcPr>
            <w:tcW w:w="976" w:type="dxa"/>
            <w:tcBorders>
              <w:top w:val="single" w:sz="4" w:space="0" w:color="auto"/>
              <w:bottom w:val="single" w:sz="4" w:space="0" w:color="auto"/>
            </w:tcBorders>
            <w:vAlign w:val="center"/>
          </w:tcPr>
          <w:p w14:paraId="5753D2F7"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10/10</w:t>
            </w:r>
          </w:p>
        </w:tc>
        <w:tc>
          <w:tcPr>
            <w:tcW w:w="3348" w:type="dxa"/>
            <w:tcBorders>
              <w:top w:val="single" w:sz="4" w:space="0" w:color="auto"/>
              <w:bottom w:val="single" w:sz="4" w:space="0" w:color="auto"/>
            </w:tcBorders>
            <w:vAlign w:val="center"/>
          </w:tcPr>
          <w:p w14:paraId="45D12D7D"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laparoscopic bariatric surgery</w:t>
            </w:r>
          </w:p>
        </w:tc>
        <w:tc>
          <w:tcPr>
            <w:tcW w:w="1521" w:type="dxa"/>
            <w:tcBorders>
              <w:top w:val="single" w:sz="4" w:space="0" w:color="auto"/>
              <w:bottom w:val="single" w:sz="4" w:space="0" w:color="auto"/>
            </w:tcBorders>
            <w:vAlign w:val="center"/>
          </w:tcPr>
          <w:p w14:paraId="04CAF380"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Cstat-guided</w:t>
            </w:r>
          </w:p>
        </w:tc>
        <w:tc>
          <w:tcPr>
            <w:tcW w:w="959" w:type="dxa"/>
            <w:tcBorders>
              <w:top w:val="single" w:sz="4" w:space="0" w:color="auto"/>
              <w:bottom w:val="single" w:sz="4" w:space="0" w:color="auto"/>
            </w:tcBorders>
            <w:vAlign w:val="center"/>
          </w:tcPr>
          <w:p w14:paraId="78EC15DE"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5</w:t>
            </w:r>
          </w:p>
        </w:tc>
      </w:tr>
      <w:tr w:rsidR="00606986" w:rsidRPr="00483D15" w14:paraId="30BDB381" w14:textId="77777777" w:rsidTr="00E96E88">
        <w:trPr>
          <w:trHeight w:val="465"/>
          <w:jc w:val="center"/>
        </w:trPr>
        <w:tc>
          <w:tcPr>
            <w:tcW w:w="1701" w:type="dxa"/>
            <w:tcBorders>
              <w:top w:val="single" w:sz="4" w:space="0" w:color="auto"/>
              <w:bottom w:val="single" w:sz="4" w:space="0" w:color="auto"/>
            </w:tcBorders>
            <w:vAlign w:val="center"/>
          </w:tcPr>
          <w:p w14:paraId="3DE3D11F" w14:textId="4A438059"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Xiao et al., 2023</w:t>
            </w:r>
            <w:r w:rsidR="00EB618D" w:rsidRPr="00483D15">
              <w:rPr>
                <w:bCs/>
                <w:snapToGrid/>
                <w:color w:val="auto"/>
                <w:sz w:val="16"/>
                <w:szCs w:val="16"/>
              </w:rPr>
              <w:fldChar w:fldCharType="begin"/>
            </w:r>
            <w:r w:rsidR="005B452E">
              <w:rPr>
                <w:bCs/>
                <w:snapToGrid/>
                <w:color w:val="auto"/>
                <w:sz w:val="16"/>
                <w:szCs w:val="16"/>
              </w:rPr>
              <w:instrText xml:space="preserve"> ADDIN ZOTERO_ITEM CSL_CITATION {"citationID":"tnifXICO","properties":{"formattedCitation":"[67]","plainCitation":"[67]","noteIndex":0},"citationItems":[{"id":1562,"uris":["http://zotero.org/users/local/L5HAWlIW/items/ANKXGAEQ"],"itemData":{"id":1562,"type":"article-journal","abstract":"Background\n              Electrical impedance tomography (EIT) has been shown to be useful in guiding individual positive end-expiratory pressure titration for patients with mechanical ventilation. However, the appropriate positive end-expiratory pressure (PEEP) level and whether the individualized PEEP needs to be adjusted during long-term surgery (&amp;gt;6 h) were unknown. Meanwhile, the effect of individualized PEEP on the distribution of pulmonary ventilation in patients who receive abdominal thermoperfusion chemotherapy is unknown. The primary aim of this study was to observe the effect of EIT-guided PEEP on the distribution of pulmonary ventilation in patients undergoing cytoreductive surgery (CRS) combined with hot intraperitoneal chemotherapy (HIPEC). The secondary aim was to analyze their effect on postoperative pulmonary complications.\n            \n            \n              Methods\n              \n                A total of 48 patients were recruited and randomly divided into two groups, with 24 patients in each group. For the control group (group A), PEEP was set at 5 cm H\n                2\n                O, while in the EIT group (group B), individual PEEP was titrated and adjusted every 2 h with EIT guidance. Ventilation distribution, respiratory/circulation parameters, and PPC incidence were compared between the two groups.\n              \n            \n            \n              Results\n              \n                The average individualized PEEP was 10.3 ± 1.5 cm H\n                2\n                O, 10.2 ± 1.6 cm H\n                2\n                O, 10.1 ± 1.8 cm H\n                2\n                O, and 9.7 ± 2.1 cm H\n                2\n                O at 5 min, 2 h, 4 h, and 6 h after tracheal intubation during CRS + HIPEC. Individualized PEEP was correlated with ventilation distribution in the regions of interest (ROI) 1 and ROI 3 at 4 h mechanical ventilation and ROI 1 at 6 h mechanical ventilation. The ventilation distribution under individualized PEEP was back-shifted for 6 h but moved to the control group’s ventral side under PEEP 5 cm H\n                2\n                O. The respiratory and circulatory function indicators were both acceptable either under individualized PEEP or PEEP 5 cm H\n                2\n                O. The incidence of total PPCs was significantly lower under individualized PEEP (66.7%) than PEEP 5 cm H\n                2\n                O (37.5%) for patients with CRS + HIPEC.\n              \n            \n            \n              Conclusion\n              \n                The appropriate individualized PEEP was stable at approximately 10 cm H\n                2\n                O during 6 h for patients with CRS + HIPEC, along with better ventilation distribution and a lower total PPC incidence than the fixed PEEP of 5 cm H\n                2\n                O.\n              \n              \n                Clinical trial registration:\n                identifier ChiCTR1900023897.","container-title":"Frontiers in Medicine","DOI":"10.3389/fmed.2023.1198720","ISSN":"2296-858X","journalAbbreviation":"Front. Med.","page":"1198720.","source":"DOI.org (Crossref)","title":"Effect of individualized positive end-expiratory pressure based on electrical impedance tomography guidance on pulmonary ventilation distribution in patients who receive abdominal thermal perfusion chemotherapy","volume":"10","author":[{"family":"Xiao","given":"Li"},{"family":"Yu","given":"Kang"},{"family":"Yang","given":"Jiao-Jiao"},{"family":"Liu","given":"Wen-Tao"},{"family":"Liu","given":"Lei"},{"family":"Miao","given":"Hui-Hui"},{"family":"Li","given":"Tian-Zuo"}],"issued":{"date-parts":[["2023",9,5]]}}}],"schema":"https://github.com/citation-style-language/schema/raw/master/csl-citation.json"} </w:instrText>
            </w:r>
            <w:r w:rsidR="00EB618D" w:rsidRPr="00483D15">
              <w:rPr>
                <w:bCs/>
                <w:snapToGrid/>
                <w:color w:val="auto"/>
                <w:sz w:val="16"/>
                <w:szCs w:val="16"/>
              </w:rPr>
              <w:fldChar w:fldCharType="separate"/>
            </w:r>
            <w:r w:rsidR="005B452E" w:rsidRPr="005B452E">
              <w:rPr>
                <w:sz w:val="16"/>
              </w:rPr>
              <w:t>[67]</w:t>
            </w:r>
            <w:r w:rsidR="00EB618D" w:rsidRPr="00483D15">
              <w:rPr>
                <w:bCs/>
                <w:snapToGrid/>
                <w:color w:val="auto"/>
                <w:sz w:val="16"/>
                <w:szCs w:val="16"/>
              </w:rPr>
              <w:fldChar w:fldCharType="end"/>
            </w:r>
          </w:p>
        </w:tc>
        <w:tc>
          <w:tcPr>
            <w:tcW w:w="976" w:type="dxa"/>
            <w:tcBorders>
              <w:top w:val="single" w:sz="4" w:space="0" w:color="auto"/>
              <w:bottom w:val="single" w:sz="4" w:space="0" w:color="auto"/>
            </w:tcBorders>
            <w:vAlign w:val="center"/>
          </w:tcPr>
          <w:p w14:paraId="67DA54A5"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24/24</w:t>
            </w:r>
          </w:p>
        </w:tc>
        <w:tc>
          <w:tcPr>
            <w:tcW w:w="3348" w:type="dxa"/>
            <w:tcBorders>
              <w:top w:val="single" w:sz="4" w:space="0" w:color="auto"/>
              <w:bottom w:val="single" w:sz="4" w:space="0" w:color="auto"/>
            </w:tcBorders>
            <w:vAlign w:val="center"/>
          </w:tcPr>
          <w:p w14:paraId="3DEE3B99"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CRS + HIPEC</w:t>
            </w:r>
          </w:p>
        </w:tc>
        <w:tc>
          <w:tcPr>
            <w:tcW w:w="1521" w:type="dxa"/>
            <w:tcBorders>
              <w:top w:val="single" w:sz="4" w:space="0" w:color="auto"/>
              <w:bottom w:val="single" w:sz="4" w:space="0" w:color="auto"/>
            </w:tcBorders>
            <w:vAlign w:val="center"/>
          </w:tcPr>
          <w:p w14:paraId="77712782"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EIT-guided</w:t>
            </w:r>
          </w:p>
        </w:tc>
        <w:tc>
          <w:tcPr>
            <w:tcW w:w="959" w:type="dxa"/>
            <w:tcBorders>
              <w:top w:val="single" w:sz="4" w:space="0" w:color="auto"/>
              <w:bottom w:val="single" w:sz="4" w:space="0" w:color="auto"/>
            </w:tcBorders>
            <w:vAlign w:val="center"/>
          </w:tcPr>
          <w:p w14:paraId="4B0598A4"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5</w:t>
            </w:r>
          </w:p>
        </w:tc>
      </w:tr>
      <w:tr w:rsidR="00606986" w:rsidRPr="00483D15" w14:paraId="1FDF8CF1" w14:textId="77777777" w:rsidTr="00E96E88">
        <w:trPr>
          <w:trHeight w:val="465"/>
          <w:jc w:val="center"/>
        </w:trPr>
        <w:tc>
          <w:tcPr>
            <w:tcW w:w="1701" w:type="dxa"/>
            <w:tcBorders>
              <w:top w:val="single" w:sz="4" w:space="0" w:color="auto"/>
              <w:bottom w:val="single" w:sz="4" w:space="0" w:color="auto"/>
            </w:tcBorders>
            <w:vAlign w:val="center"/>
          </w:tcPr>
          <w:p w14:paraId="789C333A" w14:textId="405E10D4"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Xu et al., 2022</w:t>
            </w:r>
            <w:r w:rsidR="00EB618D" w:rsidRPr="00483D15">
              <w:rPr>
                <w:bCs/>
                <w:snapToGrid/>
                <w:color w:val="auto"/>
                <w:sz w:val="16"/>
                <w:szCs w:val="16"/>
              </w:rPr>
              <w:fldChar w:fldCharType="begin"/>
            </w:r>
            <w:r w:rsidR="002B6743">
              <w:rPr>
                <w:bCs/>
                <w:snapToGrid/>
                <w:color w:val="auto"/>
                <w:sz w:val="16"/>
                <w:szCs w:val="16"/>
              </w:rPr>
              <w:instrText xml:space="preserve"> ADDIN ZOTERO_ITEM CSL_CITATION {"citationID":"BSmGvULN","properties":{"formattedCitation":"[45]","plainCitation":"[45]","noteIndex":0},"citationItems":[{"id":182,"uris":["http://zotero.org/users/local/L5HAWlIW/items/463AFJSV"],"itemData":{"id":182,"type":"article-journal","abstract":"&lt;AbstractText Label=\"BACKGROUND\"&gt;Driving pressure (ΔP = Plateau pressure-PEEP) is highly correlated with postoperative pulmonary complications (PPCs) and appears to be a promising indicator for optimizing ventilator settings. We hypothesized that dynamic, individualized positive end-expiratory pressure (PEEP) guided by ΔP could reduce postoperative atelectasis and improve intraoperative oxygenation, respiratory mechanics, and reduce the incidence of PPCs on elderly patients undergoing laparoscopic surgery.&lt;/AbstractText&gt; &lt;AbstractText Label=\"METHODS\"&gt;Fifty-one elderly patients who were subject to laparoscopic surgery participated in this randomized trial. In the PEEP titration group (DV group), the PEEP titration was decremented to the lowest ΔP and repeated every 1 h. Additional procedures were also performed when performing predefined events that may be associated with lung collapse. In the constant PEEP group (PV group), a PEEP of 6 cmH&lt;sub&gt;2&lt;/sub&gt;O was used throughout the surgery. Moreover, zero PEEP was applied during the entire procedure in the conventional ventilation group (CV group). The primary objective of this study was lung ultrasound score noted at the end of surgery and 15 min after admission to the post-anesthesia care unit (PACU) at 12 lung areas bilaterally. The secondary endpoints were perioperative oxygenation function, expiratory mechanics, and the incidence of the PPCs.&lt;/AbstractText&gt; &lt;AbstractText Label=\"RESULTS\"&gt;The lung ultrasound scores of the DV group were significantly lower than those in the PV group and CV group (P &amp;lt; 0.05), whereas there was no significant difference between the PV group and CV group (P &amp;gt; 0.05). The lung static compliance (Cstat) and ΔP at all the intraoperative time points in the DV group were significantly better compared to the PV group and the CV group (p &amp;lt; 0.05).&lt;/AbstractText&gt; &lt;AbstractText Label=\"CONCLUSIONS\"&gt;Intraoperative titrated PEEP reduced postoperative lung atelectasis and improved respiratory mechanics in elderly patients undergoing laparoscopic surgery. Meanwhile, standard PEEP strategy is not superior to conventional ventilation in reducing postoperative pulmonary atelectasis in laparoscopic surgery.&lt;/AbstractText&gt; &lt;CopyrightInformation&gt;© 2022. The Author(s).&lt;/CopyrightInformation&gt;","container-title":"BMC anesthesiology","DOI":"10.1186/s12871-022-01613-9","issue":"1","note":"publisher: BioMed Central","page":"72-NA","title":"Effects of dynamic individualized PEEP guided by driving pressure in laparoscopic surgery on postoperative atelectasis in elderly patients: a prospective randomized controlled trial.","volume":"22","author":[{"family":"Xu","given":"Qi; Guo","suffix":"Xiao; Liu, Jiang; Li, Si-Xun; Ma, Hai-Rui; Wang, Fei-Xiang; Lin, Jing-Yan"}],"issued":{"date-parts":[["2022"]]}}}],"schema":"https://github.com/citation-style-language/schema/raw/master/csl-citation.json"} </w:instrText>
            </w:r>
            <w:r w:rsidR="00EB618D" w:rsidRPr="00483D15">
              <w:rPr>
                <w:bCs/>
                <w:snapToGrid/>
                <w:color w:val="auto"/>
                <w:sz w:val="16"/>
                <w:szCs w:val="16"/>
              </w:rPr>
              <w:fldChar w:fldCharType="separate"/>
            </w:r>
            <w:r w:rsidR="002B6743" w:rsidRPr="002B6743">
              <w:rPr>
                <w:sz w:val="16"/>
              </w:rPr>
              <w:t>[45]</w:t>
            </w:r>
            <w:r w:rsidR="00EB618D" w:rsidRPr="00483D15">
              <w:rPr>
                <w:bCs/>
                <w:snapToGrid/>
                <w:color w:val="auto"/>
                <w:sz w:val="16"/>
                <w:szCs w:val="16"/>
              </w:rPr>
              <w:fldChar w:fldCharType="end"/>
            </w:r>
          </w:p>
        </w:tc>
        <w:tc>
          <w:tcPr>
            <w:tcW w:w="976" w:type="dxa"/>
            <w:tcBorders>
              <w:top w:val="single" w:sz="4" w:space="0" w:color="auto"/>
              <w:bottom w:val="single" w:sz="4" w:space="0" w:color="auto"/>
            </w:tcBorders>
            <w:vAlign w:val="center"/>
          </w:tcPr>
          <w:p w14:paraId="1B663055"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17/16</w:t>
            </w:r>
          </w:p>
        </w:tc>
        <w:tc>
          <w:tcPr>
            <w:tcW w:w="3348" w:type="dxa"/>
            <w:tcBorders>
              <w:top w:val="single" w:sz="4" w:space="0" w:color="auto"/>
              <w:bottom w:val="single" w:sz="4" w:space="0" w:color="auto"/>
            </w:tcBorders>
            <w:vAlign w:val="center"/>
          </w:tcPr>
          <w:p w14:paraId="3A58F4E3"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laparoscopic surgery</w:t>
            </w:r>
          </w:p>
        </w:tc>
        <w:tc>
          <w:tcPr>
            <w:tcW w:w="1521" w:type="dxa"/>
            <w:tcBorders>
              <w:top w:val="single" w:sz="4" w:space="0" w:color="auto"/>
              <w:bottom w:val="single" w:sz="4" w:space="0" w:color="auto"/>
            </w:tcBorders>
            <w:vAlign w:val="center"/>
          </w:tcPr>
          <w:p w14:paraId="01B7714D" w14:textId="77777777" w:rsidR="000031F6" w:rsidRPr="00483D15" w:rsidRDefault="000031F6" w:rsidP="000031F6">
            <w:pPr>
              <w:pStyle w:val="MDPI42tablebody"/>
              <w:spacing w:line="240" w:lineRule="auto"/>
              <w:rPr>
                <w:bCs/>
                <w:snapToGrid/>
                <w:color w:val="auto"/>
                <w:sz w:val="16"/>
                <w:szCs w:val="16"/>
              </w:rPr>
            </w:pPr>
            <w:proofErr w:type="spellStart"/>
            <w:r w:rsidRPr="00483D15">
              <w:rPr>
                <w:bCs/>
                <w:snapToGrid/>
                <w:color w:val="auto"/>
                <w:sz w:val="16"/>
                <w:szCs w:val="16"/>
              </w:rPr>
              <w:t>dP</w:t>
            </w:r>
            <w:proofErr w:type="spellEnd"/>
            <w:r w:rsidRPr="00483D15">
              <w:rPr>
                <w:bCs/>
                <w:snapToGrid/>
                <w:color w:val="auto"/>
                <w:sz w:val="16"/>
                <w:szCs w:val="16"/>
              </w:rPr>
              <w:t>-guided</w:t>
            </w:r>
          </w:p>
        </w:tc>
        <w:tc>
          <w:tcPr>
            <w:tcW w:w="959" w:type="dxa"/>
            <w:tcBorders>
              <w:top w:val="single" w:sz="4" w:space="0" w:color="auto"/>
              <w:bottom w:val="single" w:sz="4" w:space="0" w:color="auto"/>
            </w:tcBorders>
            <w:vAlign w:val="center"/>
          </w:tcPr>
          <w:p w14:paraId="7582395D"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6</w:t>
            </w:r>
          </w:p>
        </w:tc>
      </w:tr>
      <w:tr w:rsidR="00606986" w:rsidRPr="00483D15" w14:paraId="182C428F" w14:textId="77777777" w:rsidTr="00E96E88">
        <w:trPr>
          <w:trHeight w:val="465"/>
          <w:jc w:val="center"/>
        </w:trPr>
        <w:tc>
          <w:tcPr>
            <w:tcW w:w="1701" w:type="dxa"/>
            <w:tcBorders>
              <w:top w:val="single" w:sz="4" w:space="0" w:color="auto"/>
              <w:bottom w:val="single" w:sz="4" w:space="0" w:color="auto"/>
            </w:tcBorders>
            <w:vAlign w:val="center"/>
          </w:tcPr>
          <w:p w14:paraId="5E2EB02C" w14:textId="6FED6A7F"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Yang et al., 2023</w:t>
            </w:r>
            <w:r w:rsidR="00EB618D" w:rsidRPr="00483D15">
              <w:rPr>
                <w:bCs/>
                <w:snapToGrid/>
                <w:color w:val="auto"/>
                <w:sz w:val="16"/>
                <w:szCs w:val="16"/>
              </w:rPr>
              <w:fldChar w:fldCharType="begin"/>
            </w:r>
            <w:r w:rsidR="0028575D">
              <w:rPr>
                <w:bCs/>
                <w:snapToGrid/>
                <w:color w:val="auto"/>
                <w:sz w:val="16"/>
                <w:szCs w:val="16"/>
              </w:rPr>
              <w:instrText xml:space="preserve"> ADDIN ZOTERO_ITEM CSL_CITATION {"citationID":"MJwSyzuc","properties":{"formattedCitation":"[63]","plainCitation":"[63]","noteIndex":0},"citationItems":[{"id":1558,"uris":["http://zotero.org/users/local/L5HAWlIW/items/QIKG7S9M"],"itemData":{"id":1558,"type":"article-journal","container-title":"Diabetes, Metabolic Syndrome and Obesity","DOI":"10.2147/DMSO.S405804","ISSN":"1178-7007","journalAbbreviation":"DMSO","language":"en","license":"https://creativecommons.org/licenses/by-nc/3.0/","page":"1515-1523","source":"DOI.org (Crossref)","title":"Driving Pressure-Guided Ventilation in Obese Patients Undergoing Laparoscopic Sleeve Gastrectomy: A Randomized Controlled Trial","title-short":"Driving Pressure-Guided Ventilation in Obese Patients Undergoing Laparoscopic Sleeve Gastrectomy","volume":"Volume 16","author":[{"family":"Yang","given":"Guanyu"},{"family":"Zhang","given":"Pin"},{"family":"Li","given":"Liumei"},{"family":"Wang","given":"Jingjing"},{"family":"Jiao","given":"Pengfei"},{"family":"Wang","given":"Jie"},{"family":"Chu","given":"Qinjun"}],"issued":{"date-parts":[["2023",5]]}}}],"schema":"https://github.com/citation-style-language/schema/raw/master/csl-citation.json"} </w:instrText>
            </w:r>
            <w:r w:rsidR="00EB618D" w:rsidRPr="00483D15">
              <w:rPr>
                <w:bCs/>
                <w:snapToGrid/>
                <w:color w:val="auto"/>
                <w:sz w:val="16"/>
                <w:szCs w:val="16"/>
              </w:rPr>
              <w:fldChar w:fldCharType="separate"/>
            </w:r>
            <w:r w:rsidR="0028575D" w:rsidRPr="0028575D">
              <w:rPr>
                <w:sz w:val="16"/>
              </w:rPr>
              <w:t>[63]</w:t>
            </w:r>
            <w:r w:rsidR="00EB618D" w:rsidRPr="00483D15">
              <w:rPr>
                <w:bCs/>
                <w:snapToGrid/>
                <w:color w:val="auto"/>
                <w:sz w:val="16"/>
                <w:szCs w:val="16"/>
              </w:rPr>
              <w:fldChar w:fldCharType="end"/>
            </w:r>
          </w:p>
        </w:tc>
        <w:tc>
          <w:tcPr>
            <w:tcW w:w="976" w:type="dxa"/>
            <w:tcBorders>
              <w:top w:val="single" w:sz="4" w:space="0" w:color="auto"/>
              <w:bottom w:val="single" w:sz="4" w:space="0" w:color="auto"/>
            </w:tcBorders>
            <w:vAlign w:val="center"/>
          </w:tcPr>
          <w:p w14:paraId="402971C9"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23/22</w:t>
            </w:r>
          </w:p>
        </w:tc>
        <w:tc>
          <w:tcPr>
            <w:tcW w:w="3348" w:type="dxa"/>
            <w:tcBorders>
              <w:top w:val="single" w:sz="4" w:space="0" w:color="auto"/>
              <w:bottom w:val="single" w:sz="4" w:space="0" w:color="auto"/>
            </w:tcBorders>
            <w:vAlign w:val="center"/>
          </w:tcPr>
          <w:p w14:paraId="10FEF1C8"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laparoscopic sleeve gastrectomy</w:t>
            </w:r>
          </w:p>
        </w:tc>
        <w:tc>
          <w:tcPr>
            <w:tcW w:w="1521" w:type="dxa"/>
            <w:tcBorders>
              <w:top w:val="single" w:sz="4" w:space="0" w:color="auto"/>
              <w:bottom w:val="single" w:sz="4" w:space="0" w:color="auto"/>
            </w:tcBorders>
            <w:vAlign w:val="center"/>
          </w:tcPr>
          <w:p w14:paraId="1F8E3D41" w14:textId="77777777" w:rsidR="000031F6" w:rsidRPr="00483D15" w:rsidRDefault="000031F6" w:rsidP="000031F6">
            <w:pPr>
              <w:pStyle w:val="MDPI42tablebody"/>
              <w:spacing w:line="240" w:lineRule="auto"/>
              <w:rPr>
                <w:bCs/>
                <w:snapToGrid/>
                <w:color w:val="auto"/>
                <w:sz w:val="16"/>
                <w:szCs w:val="16"/>
              </w:rPr>
            </w:pPr>
            <w:proofErr w:type="spellStart"/>
            <w:r w:rsidRPr="00483D15">
              <w:rPr>
                <w:bCs/>
                <w:snapToGrid/>
                <w:color w:val="auto"/>
                <w:sz w:val="16"/>
                <w:szCs w:val="16"/>
              </w:rPr>
              <w:t>dP</w:t>
            </w:r>
            <w:proofErr w:type="spellEnd"/>
            <w:r w:rsidRPr="00483D15">
              <w:rPr>
                <w:bCs/>
                <w:snapToGrid/>
                <w:color w:val="auto"/>
                <w:sz w:val="16"/>
                <w:szCs w:val="16"/>
              </w:rPr>
              <w:t>-guided</w:t>
            </w:r>
          </w:p>
        </w:tc>
        <w:tc>
          <w:tcPr>
            <w:tcW w:w="959" w:type="dxa"/>
            <w:tcBorders>
              <w:top w:val="single" w:sz="4" w:space="0" w:color="auto"/>
              <w:bottom w:val="single" w:sz="4" w:space="0" w:color="auto"/>
            </w:tcBorders>
            <w:vAlign w:val="center"/>
          </w:tcPr>
          <w:p w14:paraId="2ED0B7E9"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5</w:t>
            </w:r>
          </w:p>
        </w:tc>
      </w:tr>
      <w:tr w:rsidR="00606986" w:rsidRPr="00483D15" w14:paraId="7257CBFB" w14:textId="77777777" w:rsidTr="00E96E88">
        <w:trPr>
          <w:trHeight w:val="465"/>
          <w:jc w:val="center"/>
        </w:trPr>
        <w:tc>
          <w:tcPr>
            <w:tcW w:w="1701" w:type="dxa"/>
            <w:tcBorders>
              <w:top w:val="single" w:sz="4" w:space="0" w:color="auto"/>
              <w:bottom w:val="single" w:sz="4" w:space="0" w:color="auto"/>
            </w:tcBorders>
            <w:vAlign w:val="center"/>
          </w:tcPr>
          <w:p w14:paraId="7502246A" w14:textId="550FE8C8"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Yoon et al., 2021</w:t>
            </w:r>
            <w:r w:rsidR="00EB618D" w:rsidRPr="00483D15">
              <w:rPr>
                <w:bCs/>
                <w:snapToGrid/>
                <w:color w:val="auto"/>
                <w:sz w:val="16"/>
                <w:szCs w:val="16"/>
              </w:rPr>
              <w:fldChar w:fldCharType="begin"/>
            </w:r>
            <w:r w:rsidR="006235F6">
              <w:rPr>
                <w:bCs/>
                <w:snapToGrid/>
                <w:color w:val="auto"/>
                <w:sz w:val="16"/>
                <w:szCs w:val="16"/>
              </w:rPr>
              <w:instrText xml:space="preserve"> ADDIN ZOTERO_ITEM CSL_CITATION {"citationID":"uLSmA8bO","properties":{"formattedCitation":"[15]","plainCitation":"[15]","noteIndex":0},"citationItems":[{"id":143,"uris":["http://zotero.org/users/local/L5HAWlIW/items/DLC97TPW"],"itemData":{"id":143,"type":"article-journal","abstract":"For patients undergoing robot-assisted radical prostatectomy, the pneumoperitoneum with a steep Trendelenburg position could worsen intraoperative respiratory mechanics and result in postoperative atelectasis. We investigated the effects of individualized positive end-expiratory pressure (PEEP) on postoperative atelectasis, evaluated using lung ultrasonography. Sixty patients undergoing robot-assisted radical prostatectomy were randomly allocated into two groups. Individualized groups (n = 30) received individualized PEEP determined by a decremental PEEP trial using 20 to 7 cm H2O, aiming at maximizing respiratory compliance, whereas standardized groups (n = 30) received a standardized PEEP of 7 cm H2O during the pneumoperitoneum. Ultrasound examination was performed on 12 sections of thorax, and the lung ultrasound score was measured as 0-3 by considering the number of B lines and the degree of subpleural consolidation. The primary outcome was the difference between the lung ultrasound scores measured before anesthesia induction and just after extubation in the operating room. An increase in the difference means the development of atelectasis. The optimal PEEP in the individualized group was determined as the median (interquartile range) 14 (12-18) cm H2O. Compared with the standardized group, the difference in the lung ultrasound scores was significantly smaller in the individualized group (-0.5 ± 2.7 vs. 6.0 ± 2.9, mean difference -6.53, 95% confidence interval (-8.00 to -5.07), p &lt; 0.001), which means that individualized PEEP was effective to reduce atelectasis. The lung ultrasound score measured after surgery was significantly lower in the individualized group than the standardized group (8.1 ± 5.7 vs. 12.2 ± 4.2, mean difference -4.13, 95% confidence interval (-6.74 to -1.53), p = 0.002). However, the arterial partial pressure of the oxygen/fraction of inspired oxygen levels during the surgery showed no significant time-group interaction between the two groups in repeated-measures analysis of variance (p = 0.145). The incidence of a composite of postoperative respiratory complications was comparable between the two groups. Individualized PEEP determined by maximal respiratory compliance during the pneumoperitoneum and steep Trendelenburg position significantly reduced postoperative atelectasis, as evaluated using lung ultrasonography. However, the clinical significance of this finding should be evaluated by a larger clinical trial.","container-title":"Journal of clinical medicine","DOI":"10.3390/jcm10040850","issue":"4","note":"publisher: Multidisciplinary Digital Publishing Institute (MDPI)","page":"850-NA","title":"The Effect of Ventilation with Individualized Positive End-Expiratory Pressure on Postoperative Atelectasis in Patients Undergoing Robot-Assisted Radical Prostatectomy: A Randomized Controlled Trial.","volume":"10","author":[{"family":"Yoon","given":"Hyun Kyu; Kim","suffix":"Bo Rim; Yoon, Susie; Jeong, Young Hyun; Ku, Ja Hyeon; Kim, Won Ho"}],"issued":{"date-parts":[["2021"]]}}}],"schema":"https://github.com/citation-style-language/schema/raw/master/csl-citation.json"} </w:instrText>
            </w:r>
            <w:r w:rsidR="00EB618D" w:rsidRPr="00483D15">
              <w:rPr>
                <w:bCs/>
                <w:snapToGrid/>
                <w:color w:val="auto"/>
                <w:sz w:val="16"/>
                <w:szCs w:val="16"/>
              </w:rPr>
              <w:fldChar w:fldCharType="separate"/>
            </w:r>
            <w:r w:rsidR="006235F6" w:rsidRPr="006235F6">
              <w:rPr>
                <w:sz w:val="16"/>
              </w:rPr>
              <w:t>[15]</w:t>
            </w:r>
            <w:r w:rsidR="00EB618D" w:rsidRPr="00483D15">
              <w:rPr>
                <w:bCs/>
                <w:snapToGrid/>
                <w:color w:val="auto"/>
                <w:sz w:val="16"/>
                <w:szCs w:val="16"/>
              </w:rPr>
              <w:fldChar w:fldCharType="end"/>
            </w:r>
          </w:p>
        </w:tc>
        <w:tc>
          <w:tcPr>
            <w:tcW w:w="976" w:type="dxa"/>
            <w:tcBorders>
              <w:top w:val="single" w:sz="4" w:space="0" w:color="auto"/>
              <w:bottom w:val="single" w:sz="4" w:space="0" w:color="auto"/>
            </w:tcBorders>
            <w:vAlign w:val="center"/>
          </w:tcPr>
          <w:p w14:paraId="6E3BE6BF"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30/30</w:t>
            </w:r>
          </w:p>
        </w:tc>
        <w:tc>
          <w:tcPr>
            <w:tcW w:w="3348" w:type="dxa"/>
            <w:tcBorders>
              <w:top w:val="single" w:sz="4" w:space="0" w:color="auto"/>
              <w:bottom w:val="single" w:sz="4" w:space="0" w:color="auto"/>
            </w:tcBorders>
            <w:vAlign w:val="center"/>
          </w:tcPr>
          <w:p w14:paraId="0B10317D"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robot-assisted radical prostatectomy</w:t>
            </w:r>
          </w:p>
        </w:tc>
        <w:tc>
          <w:tcPr>
            <w:tcW w:w="1521" w:type="dxa"/>
            <w:tcBorders>
              <w:top w:val="single" w:sz="4" w:space="0" w:color="auto"/>
              <w:bottom w:val="single" w:sz="4" w:space="0" w:color="auto"/>
            </w:tcBorders>
            <w:vAlign w:val="center"/>
          </w:tcPr>
          <w:p w14:paraId="074744E2"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Cdyn-guided</w:t>
            </w:r>
          </w:p>
        </w:tc>
        <w:tc>
          <w:tcPr>
            <w:tcW w:w="959" w:type="dxa"/>
            <w:tcBorders>
              <w:top w:val="single" w:sz="4" w:space="0" w:color="auto"/>
              <w:bottom w:val="single" w:sz="4" w:space="0" w:color="auto"/>
            </w:tcBorders>
            <w:vAlign w:val="center"/>
          </w:tcPr>
          <w:p w14:paraId="542A359E"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7</w:t>
            </w:r>
          </w:p>
        </w:tc>
      </w:tr>
      <w:tr w:rsidR="00606986" w:rsidRPr="00483D15" w14:paraId="56D5ADED" w14:textId="77777777" w:rsidTr="00E96E88">
        <w:trPr>
          <w:trHeight w:val="465"/>
          <w:jc w:val="center"/>
        </w:trPr>
        <w:tc>
          <w:tcPr>
            <w:tcW w:w="1701" w:type="dxa"/>
            <w:tcBorders>
              <w:top w:val="single" w:sz="4" w:space="0" w:color="auto"/>
              <w:bottom w:val="single" w:sz="4" w:space="0" w:color="auto"/>
            </w:tcBorders>
            <w:vAlign w:val="center"/>
          </w:tcPr>
          <w:p w14:paraId="2D39575E" w14:textId="1B23DA02"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Zhang et al., 2021</w:t>
            </w:r>
            <w:r w:rsidR="00EB618D" w:rsidRPr="00483D15">
              <w:rPr>
                <w:bCs/>
                <w:snapToGrid/>
                <w:color w:val="auto"/>
                <w:sz w:val="16"/>
                <w:szCs w:val="16"/>
              </w:rPr>
              <w:fldChar w:fldCharType="begin"/>
            </w:r>
            <w:r w:rsidR="00620334">
              <w:rPr>
                <w:bCs/>
                <w:snapToGrid/>
                <w:color w:val="auto"/>
                <w:sz w:val="16"/>
                <w:szCs w:val="16"/>
              </w:rPr>
              <w:instrText xml:space="preserve"> ADDIN ZOTERO_ITEM CSL_CITATION {"citationID":"aIGZbASw","properties":{"formattedCitation":"[64]","plainCitation":"[64]","noteIndex":0},"citationItems":[{"id":157,"uris":["http://zotero.org/users/local/L5HAWlIW/items/9I65CFBK"],"itemData":{"id":157,"type":"article-journal","abstract":"Background The optimal positive end-expiratory pressure (PEEP) to prevent postoperative pulmonary complications (PPCs) remains unclear. Recent evidence showed that driving pressure was closely related to PPCs. In this study, we tested the hypothesis that an individualized PEEP guided by minimum driving pressure during abdominal surgery would reduce the incidence of PPCs. Methods This single-centered, randomized controlled trial included a total of 148 patients scheduled for open upper abdominal surgery. Patients were randomly assigned to receive an individualized PEEP guided by minimum driving pressure or an empiric fixed PEEP of 6 cm H2O. The primary outcome was the incidence of clinically significant PPCs within the first 7 days after surgery, using a χ2 test. Secondary outcomes were the severity of PPCs, the area of atelectasis, and pleural effusion. Other outcomes, such as the incidence of different types of PPCs (including hypoxemia, atelectasis, pleural effusion, dyspnea, pneumonia, pneumothorax, and acute respiratory distress syndrome), intensive care unit (ICU) admission rate, length of hospital stay, and 30-day mortality were also explored. Results The median value of PEEP in the individualized group was 10 cm H2O. The incidence of clinically significant PPCs was significantly lower in the individualized PEEP group compared with that in the fixed PEEP group (26 of 67 [38.8%] vs 42 of 67 [62.7%], relative risk = 0.619, 95% confidence intervals, 0.435-0.881; P = .006). The overall severity of PPCs and the area of atelectasis were also significantly diminished in the individualized PEEP group. Higher respiratory compliance during surgery and improved intra- and postoperative oxygenation was observed in the individualized group. No significant differences were found in other outcomes between the 2 groups, such as ICU admission rate or 30-day mortality. Conclusions The application of individualized PEEP based on minimum driving pressure may effectively decrease the severity of atelectasis, improve oxygenation, and reduce the incidence of clinically significant PPCs after open upper abdominal surgery.","container-title":"Anesthesia and analgesia","DOI":"10.1213/ane.0000000000005575","issue":"5","note":"publisher: Lippincott Williams and Wilkins","page":"1197-1205","title":"Driving Pressure-Guided Individualized Positive End-Expiratory Pressure in Abdominal Surgery: A Randomized Controlled Trial.","volume":"133","author":[{"family":"Zhang","given":"Chengmi; Xu","suffix":"Fengying; Li, Weiwei; Tong, Xingyu; Xia, Ran; Wang, Wei; Du, Jianer; Shi, Xueyin"}],"issued":{"date-parts":[["2021"]]}}}],"schema":"https://github.com/citation-style-language/schema/raw/master/csl-citation.json"} </w:instrText>
            </w:r>
            <w:r w:rsidR="00EB618D" w:rsidRPr="00483D15">
              <w:rPr>
                <w:bCs/>
                <w:snapToGrid/>
                <w:color w:val="auto"/>
                <w:sz w:val="16"/>
                <w:szCs w:val="16"/>
              </w:rPr>
              <w:fldChar w:fldCharType="separate"/>
            </w:r>
            <w:r w:rsidR="00620334" w:rsidRPr="00620334">
              <w:rPr>
                <w:sz w:val="16"/>
              </w:rPr>
              <w:t>[64]</w:t>
            </w:r>
            <w:r w:rsidR="00EB618D" w:rsidRPr="00483D15">
              <w:rPr>
                <w:bCs/>
                <w:snapToGrid/>
                <w:color w:val="auto"/>
                <w:sz w:val="16"/>
                <w:szCs w:val="16"/>
              </w:rPr>
              <w:fldChar w:fldCharType="end"/>
            </w:r>
          </w:p>
        </w:tc>
        <w:tc>
          <w:tcPr>
            <w:tcW w:w="976" w:type="dxa"/>
            <w:tcBorders>
              <w:top w:val="single" w:sz="4" w:space="0" w:color="auto"/>
              <w:bottom w:val="single" w:sz="4" w:space="0" w:color="auto"/>
            </w:tcBorders>
            <w:vAlign w:val="center"/>
          </w:tcPr>
          <w:p w14:paraId="0BD97C4E"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67/67</w:t>
            </w:r>
          </w:p>
        </w:tc>
        <w:tc>
          <w:tcPr>
            <w:tcW w:w="3348" w:type="dxa"/>
            <w:tcBorders>
              <w:top w:val="single" w:sz="4" w:space="0" w:color="auto"/>
              <w:bottom w:val="single" w:sz="4" w:space="0" w:color="auto"/>
            </w:tcBorders>
            <w:vAlign w:val="center"/>
          </w:tcPr>
          <w:p w14:paraId="318276EE"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open upper abdominal surgery</w:t>
            </w:r>
          </w:p>
        </w:tc>
        <w:tc>
          <w:tcPr>
            <w:tcW w:w="1521" w:type="dxa"/>
            <w:tcBorders>
              <w:top w:val="single" w:sz="4" w:space="0" w:color="auto"/>
              <w:bottom w:val="single" w:sz="4" w:space="0" w:color="auto"/>
            </w:tcBorders>
            <w:vAlign w:val="center"/>
          </w:tcPr>
          <w:p w14:paraId="751963F2" w14:textId="77777777" w:rsidR="000031F6" w:rsidRPr="00483D15" w:rsidRDefault="000031F6" w:rsidP="000031F6">
            <w:pPr>
              <w:pStyle w:val="MDPI42tablebody"/>
              <w:spacing w:line="240" w:lineRule="auto"/>
              <w:rPr>
                <w:bCs/>
                <w:snapToGrid/>
                <w:color w:val="auto"/>
                <w:sz w:val="16"/>
                <w:szCs w:val="16"/>
              </w:rPr>
            </w:pPr>
            <w:proofErr w:type="spellStart"/>
            <w:r w:rsidRPr="00483D15">
              <w:rPr>
                <w:bCs/>
                <w:snapToGrid/>
                <w:color w:val="auto"/>
                <w:sz w:val="16"/>
                <w:szCs w:val="16"/>
              </w:rPr>
              <w:t>dP</w:t>
            </w:r>
            <w:proofErr w:type="spellEnd"/>
            <w:r w:rsidRPr="00483D15">
              <w:rPr>
                <w:bCs/>
                <w:snapToGrid/>
                <w:color w:val="auto"/>
                <w:sz w:val="16"/>
                <w:szCs w:val="16"/>
              </w:rPr>
              <w:t>-guided</w:t>
            </w:r>
          </w:p>
        </w:tc>
        <w:tc>
          <w:tcPr>
            <w:tcW w:w="959" w:type="dxa"/>
            <w:tcBorders>
              <w:top w:val="single" w:sz="4" w:space="0" w:color="auto"/>
              <w:bottom w:val="single" w:sz="4" w:space="0" w:color="auto"/>
            </w:tcBorders>
            <w:vAlign w:val="center"/>
          </w:tcPr>
          <w:p w14:paraId="6A1C32CC"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6</w:t>
            </w:r>
          </w:p>
        </w:tc>
      </w:tr>
      <w:tr w:rsidR="00606986" w:rsidRPr="00483D15" w14:paraId="15B35CCB" w14:textId="77777777" w:rsidTr="00E96E88">
        <w:trPr>
          <w:trHeight w:val="465"/>
          <w:jc w:val="center"/>
        </w:trPr>
        <w:tc>
          <w:tcPr>
            <w:tcW w:w="1701" w:type="dxa"/>
            <w:tcBorders>
              <w:top w:val="single" w:sz="4" w:space="0" w:color="auto"/>
              <w:bottom w:val="single" w:sz="4" w:space="0" w:color="auto"/>
            </w:tcBorders>
            <w:vAlign w:val="center"/>
          </w:tcPr>
          <w:p w14:paraId="5E7E3390" w14:textId="22C78CFC"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Zhang et al, 2022</w:t>
            </w:r>
            <w:r w:rsidR="00EB618D" w:rsidRPr="00483D15">
              <w:rPr>
                <w:bCs/>
                <w:snapToGrid/>
                <w:color w:val="auto"/>
                <w:sz w:val="16"/>
                <w:szCs w:val="16"/>
              </w:rPr>
              <w:fldChar w:fldCharType="begin"/>
            </w:r>
            <w:r w:rsidR="008C2584">
              <w:rPr>
                <w:bCs/>
                <w:snapToGrid/>
                <w:color w:val="auto"/>
                <w:sz w:val="16"/>
                <w:szCs w:val="16"/>
              </w:rPr>
              <w:instrText xml:space="preserve"> ADDIN ZOTERO_ITEM CSL_CITATION {"citationID":"czrgGUTF","properties":{"formattedCitation":"[65]","plainCitation":"[65]","noteIndex":0},"citationItems":[{"id":1556,"uris":["http://zotero.org/users/local/L5HAWlIW/items/BRUJD782"],"itemData":{"id":1556,"type":"article-journal","abstract":"Abstract\n            \n              To investigate whether driving pressure–guided ventilation could contribute to a more homogeneous distribution in the lung for gynecological laparoscopy. Chinese patients were randomized, after pneumoperitoneum, to receive either positive end expiratory pressure (PEEP) of 5 cm H\n              2\n              O (control group), or individualized PEEP producing the lowest driving pressure (titration group). Ventilation homogeneity is quantified as the global inhomogeneity (GI) index based on electrical impedance tomography, with a lower index implying more homogeneous ventilation. The perioperative arterial oxygenation index and respiratory system mechanics were also recorded. Blood samples were collected for lung injury biomarkers including interleukin-10, neutrophil elastase, and Clara Cell protein-16. A total of 48 patients were included for analysis. We observed a significant increase in the GI index immediately after tracheal extubation compared to preinduction in the control group (\n              p\n               = 0.040) but not in the titration group (\n              p\n               = 0.279). Furthermore, the GI index was obviously lower in the titration group than in the control group [0.390 (0.066) vs 0.460 (0.074),\n              p\n               = 0.0012]. The oxygenation index and respiratory compliance were significantly higher in the titration group than in the control group. No significant differences in biomarkers or hemodynamics were detected between the two groups. Driving pressure–guided PEEP led to more homogeneous ventilation, as well as improved gas exchange and respiratory compliance for patients undergoing gynecological laparoscopy.\n            \n            \n              Trial Registration\n              : ClinicalTrials.gov NCT04374162; first registration on 05/05/2020.","container-title":"Scientific Reports","DOI":"10.1038/s41598-022-26144-8","ISSN":"2045-2322","issue":"1","journalAbbreviation":"Sci Rep","language":"en","page":"21687","source":"DOI.org (Crossref)","title":"Driving pressure-guided ventilation improves homogeneity in lung gas distribution for gynecological laparoscopy: a randomized controlled trial","title-short":"Driving pressure-guided ventilation improves homogeneity in lung gas distribution for gynecological laparoscopy","volume":"12","author":[{"family":"Zhang","given":"Wei"},{"family":"Liu","given":"Feifei"},{"family":"Zhao","given":"Zhanqi"},{"family":"Shao","given":"Chunqing"},{"family":"Xu","given":"Xin"},{"family":"Ma","given":"Jiajia"},{"family":"Han","given":"Ruquan"}],"issued":{"date-parts":[["2022",12,15]]}}}],"schema":"https://github.com/citation-style-language/schema/raw/master/csl-citation.json"} </w:instrText>
            </w:r>
            <w:r w:rsidR="00EB618D" w:rsidRPr="00483D15">
              <w:rPr>
                <w:bCs/>
                <w:snapToGrid/>
                <w:color w:val="auto"/>
                <w:sz w:val="16"/>
                <w:szCs w:val="16"/>
              </w:rPr>
              <w:fldChar w:fldCharType="separate"/>
            </w:r>
            <w:r w:rsidR="008C2584" w:rsidRPr="008C2584">
              <w:rPr>
                <w:sz w:val="16"/>
              </w:rPr>
              <w:t>[65]</w:t>
            </w:r>
            <w:r w:rsidR="00EB618D" w:rsidRPr="00483D15">
              <w:rPr>
                <w:bCs/>
                <w:snapToGrid/>
                <w:color w:val="auto"/>
                <w:sz w:val="16"/>
                <w:szCs w:val="16"/>
              </w:rPr>
              <w:fldChar w:fldCharType="end"/>
            </w:r>
          </w:p>
        </w:tc>
        <w:tc>
          <w:tcPr>
            <w:tcW w:w="976" w:type="dxa"/>
            <w:tcBorders>
              <w:top w:val="single" w:sz="4" w:space="0" w:color="auto"/>
              <w:bottom w:val="single" w:sz="4" w:space="0" w:color="auto"/>
            </w:tcBorders>
            <w:vAlign w:val="center"/>
          </w:tcPr>
          <w:p w14:paraId="2A8D0CAE"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67/67</w:t>
            </w:r>
          </w:p>
        </w:tc>
        <w:tc>
          <w:tcPr>
            <w:tcW w:w="3348" w:type="dxa"/>
            <w:tcBorders>
              <w:top w:val="single" w:sz="4" w:space="0" w:color="auto"/>
              <w:bottom w:val="single" w:sz="4" w:space="0" w:color="auto"/>
            </w:tcBorders>
            <w:vAlign w:val="center"/>
          </w:tcPr>
          <w:p w14:paraId="002C423C" w14:textId="77777777" w:rsidR="000031F6" w:rsidRPr="00483D15" w:rsidRDefault="000031F6" w:rsidP="000031F6">
            <w:pPr>
              <w:pStyle w:val="MDPI42tablebody"/>
              <w:spacing w:line="240" w:lineRule="auto"/>
              <w:rPr>
                <w:bCs/>
                <w:snapToGrid/>
                <w:color w:val="auto"/>
                <w:sz w:val="16"/>
                <w:szCs w:val="16"/>
              </w:rPr>
            </w:pPr>
            <w:r w:rsidRPr="00483D15">
              <w:rPr>
                <w:bCs/>
                <w:color w:val="auto"/>
                <w:sz w:val="16"/>
                <w:szCs w:val="16"/>
              </w:rPr>
              <w:t xml:space="preserve">laparoscopic </w:t>
            </w:r>
            <w:proofErr w:type="spellStart"/>
            <w:r w:rsidRPr="00483D15">
              <w:rPr>
                <w:bCs/>
                <w:color w:val="auto"/>
                <w:sz w:val="16"/>
                <w:szCs w:val="16"/>
              </w:rPr>
              <w:t>gynaecological</w:t>
            </w:r>
            <w:proofErr w:type="spellEnd"/>
            <w:r w:rsidRPr="00483D15">
              <w:rPr>
                <w:bCs/>
                <w:color w:val="auto"/>
                <w:sz w:val="16"/>
                <w:szCs w:val="16"/>
              </w:rPr>
              <w:t xml:space="preserve"> surgery</w:t>
            </w:r>
          </w:p>
        </w:tc>
        <w:tc>
          <w:tcPr>
            <w:tcW w:w="1521" w:type="dxa"/>
            <w:tcBorders>
              <w:top w:val="single" w:sz="4" w:space="0" w:color="auto"/>
              <w:bottom w:val="single" w:sz="4" w:space="0" w:color="auto"/>
            </w:tcBorders>
            <w:vAlign w:val="center"/>
          </w:tcPr>
          <w:p w14:paraId="3CF5B52A" w14:textId="77777777" w:rsidR="000031F6" w:rsidRPr="00483D15" w:rsidRDefault="000031F6" w:rsidP="000031F6">
            <w:pPr>
              <w:pStyle w:val="MDPI42tablebody"/>
              <w:spacing w:line="240" w:lineRule="auto"/>
              <w:rPr>
                <w:bCs/>
                <w:snapToGrid/>
                <w:color w:val="auto"/>
                <w:sz w:val="16"/>
                <w:szCs w:val="16"/>
              </w:rPr>
            </w:pPr>
            <w:proofErr w:type="spellStart"/>
            <w:r w:rsidRPr="00483D15">
              <w:rPr>
                <w:bCs/>
                <w:snapToGrid/>
                <w:color w:val="auto"/>
                <w:sz w:val="16"/>
                <w:szCs w:val="16"/>
              </w:rPr>
              <w:t>dP</w:t>
            </w:r>
            <w:proofErr w:type="spellEnd"/>
            <w:r w:rsidRPr="00483D15">
              <w:rPr>
                <w:bCs/>
                <w:snapToGrid/>
                <w:color w:val="auto"/>
                <w:sz w:val="16"/>
                <w:szCs w:val="16"/>
              </w:rPr>
              <w:t>-guided</w:t>
            </w:r>
          </w:p>
        </w:tc>
        <w:tc>
          <w:tcPr>
            <w:tcW w:w="959" w:type="dxa"/>
            <w:tcBorders>
              <w:top w:val="single" w:sz="4" w:space="0" w:color="auto"/>
              <w:bottom w:val="single" w:sz="4" w:space="0" w:color="auto"/>
            </w:tcBorders>
            <w:vAlign w:val="center"/>
          </w:tcPr>
          <w:p w14:paraId="3933DD08"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5</w:t>
            </w:r>
          </w:p>
        </w:tc>
      </w:tr>
      <w:tr w:rsidR="00606986" w:rsidRPr="00483D15" w14:paraId="4E67FA59" w14:textId="77777777" w:rsidTr="00E96E88">
        <w:trPr>
          <w:trHeight w:val="465"/>
          <w:jc w:val="center"/>
        </w:trPr>
        <w:tc>
          <w:tcPr>
            <w:tcW w:w="1701" w:type="dxa"/>
            <w:tcBorders>
              <w:top w:val="single" w:sz="4" w:space="0" w:color="auto"/>
              <w:bottom w:val="single" w:sz="4" w:space="0" w:color="auto"/>
            </w:tcBorders>
            <w:vAlign w:val="center"/>
          </w:tcPr>
          <w:p w14:paraId="1CFB85E8" w14:textId="0B1A4404"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Zhou et al., 2021</w:t>
            </w:r>
            <w:r w:rsidR="00EB618D" w:rsidRPr="00483D15">
              <w:rPr>
                <w:bCs/>
                <w:snapToGrid/>
                <w:color w:val="auto"/>
                <w:sz w:val="16"/>
                <w:szCs w:val="16"/>
              </w:rPr>
              <w:fldChar w:fldCharType="begin"/>
            </w:r>
            <w:r w:rsidR="00EB3C23">
              <w:rPr>
                <w:bCs/>
                <w:snapToGrid/>
                <w:color w:val="auto"/>
                <w:sz w:val="16"/>
                <w:szCs w:val="16"/>
              </w:rPr>
              <w:instrText xml:space="preserve"> ADDIN ZOTERO_ITEM CSL_CITATION {"citationID":"UjlTP7ud","properties":{"formattedCitation":"[66]","plainCitation":"[66]","noteIndex":0},"citationItems":[{"id":1554,"uris":["http://zotero.org/users/local/L5HAWlIW/items/RGSHQSMS"],"itemData":{"id":1554,"type":"article-journal","abstract":"Abstract\n            \n              Background\n              This trial aimed to evaluate the effects of a protective ventilation strategy on oxygenation/pulmonary indexes in patients undergoing robot-assisted radical prostatectomy (RARP) in the steep Trendelenburg position.\n            \n            \n              Methods\n              \n                In phase 1, the most optimal positive end-expiratory pressure (PEEP) was determined in 25 patients at 11 cmH\n                2\n                O. In phase 2, 64 patients were randomized to the traditional ventilation group with tidal volume (VT) of 9 ml/kg of predicted body weight (PBW) and the protective ventilation group with VT of 7 ml/kg of PBW with optimal PEEP and recruitment maneuvers (RMs). The primary endpoint was the intraoperative and postoperative PaO\n                2\n                /FiO\n                2\n                . The secondary endpoints were the PaCO\n                2\n                , SpO\n                2\n                , modified clinical pulmonary infection score (mCPIS), and the rate of complications in the postoperative period.\n              \n            \n            \n              Results\n              \n                Compared with controls, PaO\n                2\n                /FiO\n                2\n                in the protective group increased after the second RM (\n                P\n                =0.018), and the difference remained until postoperative day 3 (\n                P\n                =0.043). PaCO\n                2\n                showed transient accumulation in the protective group after the first RM (T2), but this phenomenon disappeared with time. SpO\n                2\n                in the protective group was significantly higher during the first three postoperative days. Lung compliance was significantly improved after the second RM in the protective group (\n                P\n                =0.025). The mCPIS was lower in the protective group on postoperative day 3 (0.59 (1.09) vs. 1.46 (1.27),\n                P\n                =0.010).\n              \n            \n            \n              Conclusion\n              A protective ventilation strategy with lower VT combined with optimal PEEP and RMs could improve oxygenation and reduce mCPIS in patients undergoing RARP.\n            \n            \n              Trial registration\n              \n                ChiCTR\n                ChiCTR1800015626\n                . Registered on 12 April 2018.","container-title":"Trials","DOI":"10.1186/s13063-021-05310-9","ISSN":"1745-6215","issue":"1","journalAbbreviation":"Trials","language":"en","page":"351","source":"DOI.org (Crossref)","title":"Protective mechanical ventilation with optimal PEEP during RARP improves oxygenation and pulmonary indexes","volume":"22","author":[{"family":"Zhou","given":"Jianwei"},{"family":"Wang","given":"Chuanguang"},{"family":"Lv","given":"Ran"},{"family":"Liu","given":"Na"},{"family":"Huang","given":"Yan"},{"family":"Wang","given":"Wu"},{"family":"Yu","given":"Lina"},{"family":"Xie","given":"Junran"}],"issued":{"date-parts":[["2021",12]]}}}],"schema":"https://github.com/citation-style-language/schema/raw/master/csl-citation.json"} </w:instrText>
            </w:r>
            <w:r w:rsidR="00EB618D" w:rsidRPr="00483D15">
              <w:rPr>
                <w:bCs/>
                <w:snapToGrid/>
                <w:color w:val="auto"/>
                <w:sz w:val="16"/>
                <w:szCs w:val="16"/>
              </w:rPr>
              <w:fldChar w:fldCharType="separate"/>
            </w:r>
            <w:r w:rsidR="00EB3C23" w:rsidRPr="00EB3C23">
              <w:rPr>
                <w:sz w:val="16"/>
              </w:rPr>
              <w:t>[66]</w:t>
            </w:r>
            <w:r w:rsidR="00EB618D" w:rsidRPr="00483D15">
              <w:rPr>
                <w:bCs/>
                <w:snapToGrid/>
                <w:color w:val="auto"/>
                <w:sz w:val="16"/>
                <w:szCs w:val="16"/>
              </w:rPr>
              <w:fldChar w:fldCharType="end"/>
            </w:r>
          </w:p>
        </w:tc>
        <w:tc>
          <w:tcPr>
            <w:tcW w:w="976" w:type="dxa"/>
            <w:tcBorders>
              <w:top w:val="single" w:sz="4" w:space="0" w:color="auto"/>
              <w:bottom w:val="single" w:sz="4" w:space="0" w:color="auto"/>
            </w:tcBorders>
            <w:vAlign w:val="center"/>
          </w:tcPr>
          <w:p w14:paraId="784CC48F"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32/32</w:t>
            </w:r>
          </w:p>
        </w:tc>
        <w:tc>
          <w:tcPr>
            <w:tcW w:w="3348" w:type="dxa"/>
            <w:tcBorders>
              <w:top w:val="single" w:sz="4" w:space="0" w:color="auto"/>
              <w:bottom w:val="single" w:sz="4" w:space="0" w:color="auto"/>
            </w:tcBorders>
            <w:vAlign w:val="center"/>
          </w:tcPr>
          <w:p w14:paraId="341D9364"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laparoscopic robot-assisted prostatectomy</w:t>
            </w:r>
          </w:p>
        </w:tc>
        <w:tc>
          <w:tcPr>
            <w:tcW w:w="1521" w:type="dxa"/>
            <w:tcBorders>
              <w:top w:val="single" w:sz="4" w:space="0" w:color="auto"/>
              <w:bottom w:val="single" w:sz="4" w:space="0" w:color="auto"/>
            </w:tcBorders>
            <w:vAlign w:val="center"/>
          </w:tcPr>
          <w:p w14:paraId="6DAC3D77" w14:textId="77777777" w:rsidR="000031F6" w:rsidRPr="00483D15" w:rsidRDefault="000031F6" w:rsidP="000031F6">
            <w:pPr>
              <w:pStyle w:val="MDPI42tablebody"/>
              <w:spacing w:line="240" w:lineRule="auto"/>
              <w:rPr>
                <w:bCs/>
                <w:snapToGrid/>
                <w:color w:val="auto"/>
                <w:sz w:val="16"/>
                <w:szCs w:val="16"/>
              </w:rPr>
            </w:pPr>
            <w:r w:rsidRPr="00483D15">
              <w:rPr>
                <w:bCs/>
                <w:snapToGrid/>
                <w:color w:val="auto"/>
                <w:sz w:val="16"/>
                <w:szCs w:val="16"/>
              </w:rPr>
              <w:t>Cdyn-guided</w:t>
            </w:r>
          </w:p>
        </w:tc>
        <w:tc>
          <w:tcPr>
            <w:tcW w:w="959" w:type="dxa"/>
            <w:tcBorders>
              <w:top w:val="single" w:sz="4" w:space="0" w:color="auto"/>
              <w:bottom w:val="single" w:sz="4" w:space="0" w:color="auto"/>
            </w:tcBorders>
            <w:vAlign w:val="center"/>
          </w:tcPr>
          <w:p w14:paraId="03BEEBC8" w14:textId="77777777" w:rsidR="000031F6" w:rsidRPr="00483D15" w:rsidRDefault="000031F6" w:rsidP="0034536F">
            <w:pPr>
              <w:pStyle w:val="MDPI42tablebody"/>
              <w:keepNext/>
              <w:spacing w:line="240" w:lineRule="auto"/>
              <w:rPr>
                <w:bCs/>
                <w:snapToGrid/>
                <w:color w:val="auto"/>
                <w:sz w:val="16"/>
                <w:szCs w:val="16"/>
              </w:rPr>
            </w:pPr>
            <w:r w:rsidRPr="00483D15">
              <w:rPr>
                <w:bCs/>
                <w:snapToGrid/>
                <w:color w:val="auto"/>
                <w:sz w:val="16"/>
                <w:szCs w:val="16"/>
              </w:rPr>
              <w:t>ZEEP</w:t>
            </w:r>
          </w:p>
        </w:tc>
      </w:tr>
    </w:tbl>
    <w:p w14:paraId="3299AEF9" w14:textId="784CBD70" w:rsidR="006B04ED" w:rsidRPr="00483D15" w:rsidRDefault="00FB67AF" w:rsidP="00FB67AF">
      <w:pPr>
        <w:spacing w:line="240" w:lineRule="auto"/>
        <w:rPr>
          <w:sz w:val="18"/>
          <w:szCs w:val="18"/>
          <w:lang w:val="en-US"/>
        </w:rPr>
      </w:pPr>
      <w:r w:rsidRPr="00483D15">
        <w:rPr>
          <w:sz w:val="18"/>
          <w:szCs w:val="18"/>
          <w:lang w:val="en-US"/>
        </w:rPr>
        <w:t xml:space="preserve">Cstat: static compliance; </w:t>
      </w:r>
      <w:proofErr w:type="spellStart"/>
      <w:r w:rsidRPr="00483D15">
        <w:rPr>
          <w:sz w:val="18"/>
          <w:szCs w:val="18"/>
          <w:lang w:val="en-US"/>
        </w:rPr>
        <w:t>Ptp</w:t>
      </w:r>
      <w:proofErr w:type="spellEnd"/>
      <w:r w:rsidRPr="00483D15">
        <w:rPr>
          <w:sz w:val="18"/>
          <w:szCs w:val="18"/>
          <w:lang w:val="en-US"/>
        </w:rPr>
        <w:t>: transpulmonary pressure; US: ultrasound; Cdyn: dynamic compliance; FiO</w:t>
      </w:r>
      <w:r w:rsidRPr="006B3599">
        <w:rPr>
          <w:sz w:val="18"/>
          <w:szCs w:val="18"/>
          <w:vertAlign w:val="subscript"/>
          <w:lang w:val="en-US"/>
        </w:rPr>
        <w:t>2</w:t>
      </w:r>
      <w:r w:rsidRPr="00483D15">
        <w:rPr>
          <w:sz w:val="18"/>
          <w:szCs w:val="18"/>
          <w:lang w:val="en-US"/>
        </w:rPr>
        <w:t>: fraction of inspired oxygen; EIT: electronic impedance tomograph</w:t>
      </w:r>
      <w:r w:rsidRPr="00483D15">
        <w:rPr>
          <w:sz w:val="18"/>
          <w:szCs w:val="18"/>
          <w:vertAlign w:val="superscript"/>
          <w:lang w:val="en-US"/>
        </w:rPr>
        <w:t xml:space="preserve">; </w:t>
      </w:r>
      <w:proofErr w:type="spellStart"/>
      <w:r w:rsidRPr="00483D15">
        <w:rPr>
          <w:sz w:val="18"/>
          <w:szCs w:val="18"/>
          <w:lang w:val="en-US"/>
        </w:rPr>
        <w:t>dP</w:t>
      </w:r>
      <w:proofErr w:type="spellEnd"/>
      <w:r w:rsidRPr="00483D15">
        <w:rPr>
          <w:sz w:val="18"/>
          <w:szCs w:val="18"/>
          <w:lang w:val="en-US"/>
        </w:rPr>
        <w:t>: driving pressure</w:t>
      </w:r>
      <w:r w:rsidR="001B6136">
        <w:rPr>
          <w:sz w:val="18"/>
          <w:szCs w:val="18"/>
          <w:lang w:val="en-US"/>
        </w:rPr>
        <w:t xml:space="preserve">. </w:t>
      </w:r>
    </w:p>
    <w:p w14:paraId="767F6DD6" w14:textId="120B858C" w:rsidR="003F12F0" w:rsidRPr="00483D15" w:rsidRDefault="001B37DA" w:rsidP="0036711F">
      <w:pPr>
        <w:rPr>
          <w:lang w:val="en-US"/>
        </w:rPr>
      </w:pPr>
      <w:r w:rsidRPr="00483D15">
        <w:rPr>
          <w:lang w:val="en-US"/>
        </w:rPr>
        <w:t xml:space="preserve">Among the included randomized controlled trials (RCTs), various titration methods were </w:t>
      </w:r>
      <w:r w:rsidR="00765BED">
        <w:rPr>
          <w:lang w:val="en-US"/>
        </w:rPr>
        <w:t>appl</w:t>
      </w:r>
      <w:r w:rsidR="00565155">
        <w:rPr>
          <w:lang w:val="en-US"/>
        </w:rPr>
        <w:t>ied,</w:t>
      </w:r>
      <w:r w:rsidRPr="00483D15">
        <w:rPr>
          <w:lang w:val="en-US"/>
        </w:rPr>
        <w:t xml:space="preserve"> including electrical impedance tomography (EIT)-guided</w:t>
      </w:r>
      <w:r w:rsidR="001A4462">
        <w:rPr>
          <w:lang w:val="en-US"/>
        </w:rPr>
        <w:t xml:space="preserve"> </w:t>
      </w:r>
      <w:r w:rsidR="00452790" w:rsidRPr="00483D15">
        <w:rPr>
          <w:lang w:val="en-US"/>
        </w:rPr>
        <w:fldChar w:fldCharType="begin"/>
      </w:r>
      <w:r w:rsidR="00B4262B">
        <w:rPr>
          <w:lang w:val="en-US"/>
        </w:rPr>
        <w:instrText xml:space="preserve"> ADDIN ZOTERO_ITEM CSL_CITATION {"citationID":"4S7TtTx8","properties":{"formattedCitation":"[1,14,17,58,67]","plainCitation":"[1,14,17,58,67]","noteIndex":0},"citationItems":[{"id":147,"uris":["http://zotero.org/users/local/L5HAWlIW/items/A8UQPRVS"],"itemData":{"id":147,"type":"article-journal","abstract":"Editor’s PerspectiveWhat We Already Know about This TopicIn patients with adult respiratory distress syndrome, physiologic tidal volume and positive end-expiratory pressure (PEEP) are protectiveIn patients without lung diseases undergoing mechanical ventilation under general anesthesia, optimal PEEP","container-title":"Anesthesiology","DOI":"10.1097/aln.0000000000002435","issue":"6","note":"publisher: Lippincott Williams and Wilkins","page":"1070-1081","title":"Individual Positive End-expiratory Pressure Settings Optimize Intraoperative Mechanical Ventilation and Reduce Postoperative Atelectasis","volume":"129","author":[{"family":"Pereira","given":"Sérgio; Tucci","suffix":"Mauro R.; Morais, Caio C. A.; Simões, Claudia Marquez; Tonelotto, Bruno Francisco Freitas; Pompeo, Michel S.; Kay, Fernando Uliana; Pelosi, Paolo; Vieira, Joaquim Edson; Amato, Marcelo B. P."}],"issued":{"date-parts":[["2018"]]}}},{"id":163,"uris":["http://zotero.org/users/local/L5HAWlIW/items/V9KG3S7Z"],"itemData":{"id":163,"type":"article-journal","abstract":"Abstract Background General anaesthesia leads to atelectasis, reduced end-expiratory lung volume (EELV), and diminished arterial oxygenation in obese patients. We hypothesized that a combination of a recruitment manoeuvre (RM) and individualized positive end-expiratory pressure (PEEP) can avoid these effects. Methods Patients with a BMI ≥35 kg m−2 undergoing elective laparoscopic surgery were randomly allocated to mechanical ventilation with a tidal volume of 8 ml kg−1 predicted body weight and (i) an RM followed by individualized PEEP titrated using electrical impedance tomography (PEEPIND) or (ii) no RM and PEEP of 5 cm H2O (PEEP5). Gas exchange, regional ventilation distribution, and EELV (multiple breath nitrogen washout method) were determined before, during, and after anaesthesia. The primary end point was the ratio of arterial partial pressure of oxygen to inspiratory oxygen fraction (PaO2/FiO2). Results For PEEPIND (n=25) and PEEP5 (n=25) arms together, PaO2/FiO2 and EELV decreased by 15 kPa [95% confidence interval (CI) 11–20 kPa, P Conclusions In obese patients, an RM and higher PEEPIND restored EELV, regional ventilation distribution, and oxygenation during anaesthesia, but these differences did not persist after extubation. Therefore, lung protection strategies should include the postoperative period. Clinical trial registration German clinical trials register DRKS00004199, www.who.int/ictrp/network/drks2/en/.","container-title":"British journal of anaesthesia","DOI":"10.1093/bja/aex192","issue":"6","note":"publisher: Oxford University Press","page":"1194-1205","title":"Individualized positive end-expiratory pressure in obese patients during general anaesthesia: a randomized controlled clinical trial using electrical impedance tomography","volume":"119","author":[{"family":"Nestler","given":"C.; Simon","suffix":"P.; Petroff, David; Hammermüller, Sören; Kamrath, D.; Wolf, Samuel J.; Dietrich, Arne; Camilo, Luciana Moisés; Beda, Alessandro; Carvalho, Alysson R.; Giannella-Neto, Antonio; Reske, Andreas W.; Wrigge, Hermann"}],"issued":{"date-parts":[["2017"]]}}},{"id":148,"uris":["http://zotero.org/users/local/L5HAWlIW/items/B5V6G46C"],"itemData":{"id":148,"type":"article-journal","abstract":"Abstract Background Robot-assisted laparoscopic radical prostatectomy requires general anaesthesia, extreme Trendelenburg positioning and capnoperitoneum. Together these promote impaired pulmonary gas exchange caused by atelectasis and may contribute to postoperative pulmonary complications. In morbidly obese patients, a recruitment manoeuvre (RM) followed by individualised PEEP improves intraoperative oxygenation and end-expiratory lung volume (EELV). We hypothesised that individualised PEEP with initial RM similarly improves intraoperative oxygenation and EELV in non-obese individuals undergoing robot-assisted prostatectomy. Methods Forty males (age, 49–76 yr; BMI Results In 20 males randomised to RM/PEEPIND, the median PEEPIND was 14 cm H2O [inter-quartile range, 8–20]. The Pao2/Fio2 was 10.0 kPa higher with RM/PEEPIND before extubation (95% confidence interval [CI], 2.6–17.3 kPa; P=0.001). RM/PEEPIND increased end-expiratory lung volume by 1.49 L (95% CI, 1.09–1.89 L; P Conclusion In non-obese males, an individualised ventilation strategy improved intraoperative oxygenation, which was associated with higher end-expiratory lung volumes during robot-assisted laparoscopic prostatectomy. Clinical trial registration DRKS00004199 (German clinical trials registry)","container-title":"British journal of anaesthesia","DOI":"10.1016/j.bja.2020.05.041","issue":"3","note":"publisher: Oxford University Press","page":"373-382","title":"Individualised positive end-expiratory pressure guided by electrical impedance tomography for robot-assisted laparoscopic radical prostatectomy: a prospective, randomised controlled clinical trial","volume":"125","author":[{"family":"Girrbach","given":"Felix; Petroff","suffix":"David; Schulz, Susann; Hempel, Gunther; Lange, Mirko; Klotz, Carolin; Scherz, Stephanie; Giannella-Neto, Antonio; Beda, Alessandro; Jardim-Neto, Alcendino; Stolzenburg, Jens-Uwe; Reske, Andreas W.; Wrigge, Hermann; Simon, Philipp"}],"issued":{"date-parts":[["2020"]]}}},{"id":1667,"uris":["http://zotero.org/users/local/L5HAWlIW/items/C4CXU7ZP"],"itemData":{"id":1667,"type":"article-journal","abstract":"Objective To investigate the effect of individualized positive end expiratory pressure (PEEP) setting guided by chest electrical impedance tomography (EIT) on the incidence of hypoxemia in elderly patients undergoing robot‑assisted radical prostatectomy in the post anesthesia care unit (PACU). Methods From September 2020 to October 2021, sixty elderly patients, with the American Association of Anesthesiologists (ASA) of Grade Ⅰ to Ⅲ, who underwent selective robot‑assisted radical prostatectomy under general anesthesia in the Cancer Hospital Affiliated to Fudan University were selected. The participants were divided into two groups by the minimum randomized grouping method: EIT‑PEEP group (EP group, n=30) and fixed PEEP group (FP group, n=30). After completion of tracheal intubation and establishment of pneumoperitoneum flexion posture, the individualized PEEP setting was guided by EIT in EP group, and the PEEP setting in FP group was 5 cmH2O (1 cmH2O=0.098 kPa) to the end of operation. During the operation, the ventilation mode of pressure regulation volume control was adopted. The driving pressure, dynamic lung compliance (Cdyn), oxygenation index and hemodynamics were recorded at 5 min (T1), 30 min (T2), 60 min (T3) after PEEP setting and at the time of tracheal catheter removal (T4) in both groups. The primary end point was the incidence of hypoxemia in PACU after extubation. Results The incidence of hypoxemia after extubation was 3.3% (1/30) in EP group and 26.7% (8/ 30) in FP group (P=0.030). The difference of driving pressure between the two groups at T2 [(13.1± 2.4) cmH2O vs (14.9±2.9) cmH2O, P=0.012], T3 [(12.7±2.4) cmH2O vs (15.6±2.8) cmH2O, P&lt;0.001] was statistically significant. In EP group, Cdyn was improved at T2 [(38.4±7.2) ml/cmH2O vs (31.9±5.2) ml/cmH2O, P=0.006] and T3 [(37.5</w:instrText>
      </w:r>
      <w:r w:rsidR="00B4262B">
        <w:rPr>
          <w:rFonts w:cs="Times New Roman"/>
          <w:lang w:val="en-US"/>
        </w:rPr>
        <w:instrText>��</w:instrText>
      </w:r>
      <w:r w:rsidR="00B4262B">
        <w:rPr>
          <w:lang w:val="en-US"/>
        </w:rPr>
        <w:instrText xml:space="preserve">9.0) ml/cmH2O vs (30.4±5.9) ml/cmH2O, P=0.001]. In EP group, PaO2/FiO2 increased at T1 [(465.7±84.5) mmHg vs (383.5±58.0) mmHg, 1 mmHg=0.133 kPa, P&lt; 0.001], T2 [(504.7±105.8) mmHg vs (418.9±73.7) mmHg, P=0.001], T3 [(520.7±92.2) mmHg vs (423.2±90.7) mmHg, P&lt;0.001], T4 [(368.7±42.0) mmHg vs (339.5±54.9) mmHg, P=0.024]. Conclusion The individualized PEEP setting guided by EIT can reduce the incidence of hypoxemia in elderly patients undergoing robot assisted radical prostatectomy in PACU.","archive_location":"CN-02613242","container-title":"Zhonghua yi xue za zhi","DOI":"10.3760/cma.j.cn112137-20220415-00818","issue":"47","journalAbbreviation":"Zhonghua yi xue za zhi","page":"3727‐3733","title":"Effect of EIT-guided individualized PEEP setting on the incidence of hypoxemia in elderly patients undergoing robot-assisted radical prostatectomy","volume":"102","author":[{"family":"Pan","given":"LL"},{"family":"Gao","given":"LL"},{"family":"Yang","given":"L"},{"family":"Pan","given":"CX"},{"family":"Yin","given":"YH"},{"family":"Zhu","given":"Y"},{"family":"Zhang","given":"J"}],"issued":{"date-parts":[["2022"]]}}},{"id":1562,"uris":["http://zotero.org/users/local/L5HAWlIW/items/ANKXGAEQ"],"itemData":{"id":1562,"type":"article-journal","abstract":"Background\n              Electrical impedance tomography (EIT) has been shown to be useful in guiding individual positive end-expiratory pressure titration for patients with mechanical ventilation. However, the appropriate positive end-expiratory pressure (PEEP) level and whether the individualized PEEP needs to be adjusted during long-term surgery (&amp;gt;6 h) were unknown. Meanwhile, the effect of individualized PEEP on the distribution of pulmonary ventilation in patients who receive abdominal thermoperfusion chemotherapy is unknown. The primary aim of this study was to observe the effect of EIT-guided PEEP on the distribution of pulmonary ventilation in patients undergoing cytoreductive surgery (CRS) combined with hot intraperitoneal chemotherapy (HIPEC). The secondary aim was to analyze their effect on postoperative pulmonary complications.\n            \n            \n              Methods\n              \n                A total of 48 patients were recruited and randomly divided into two groups, with 24 patients in each group. For the control group (group A), PEEP was set at 5 cm H\n                2\n                O, while in the EIT group (group B), individual PEEP was titrated and adjusted every 2 h with EIT guidance. Ventilation distribution, respiratory/circulation parameters, and PPC incidence were compared between the two groups.\n              \n            \n            \n              Results\n              \n                The average individualized PEEP was 10.3 ± 1.5 cm H\n                2\n                O, 10.2 ± 1.6 cm H\n                2\n                O, 10.1 ± 1.8 cm H\n                2\n                O, and 9.7 ± 2.1 cm H\n                2\n                O at 5 min, 2 h, 4 h, and 6 h after tracheal intubation during CRS + HIPEC. Individualized PEEP was correlated with ventilation distribution in the regions of interest (ROI) 1 and ROI 3 at 4 h mechanical ventilation and ROI 1 at 6 h mechanical ventilation. The ventilation distribution under individualized PEEP was back-shifted for 6 h but moved to the control group’s ventral side under PEEP 5 cm H\n                2\n                O. The respiratory and circulatory function indicators were both acceptable either under individualized PEEP or PEEP 5 cm H\n                2\n                O. The incidence of total PPCs was significantly lower under individualized PEEP (66.7%) than PEEP 5 cm H\n                2\n                O (37.5%) for patients with CRS + HIPEC.\n              \n            \n            \n              Conclusion\n              \n                The appropriate individualized PEEP was stable at approximately 10 cm H\n                2\n                O during 6 h for patients with CRS + HIPEC, along with better ventilation distribution and a lower total PPC incidence than the fixed PEEP of 5 cm H\n                2\n                O.\n              \n              \n                Clinical trial registration:\n                identifier ChiCTR1900023897.","container-title":"Frontiers in Medicine","DOI":"10.3389/fmed.2023.1198720","ISSN":"2296-858X","journalAbbreviation":"Front. Med.","page":"1198720.","source":"DOI.org (Crossref)","title":"Effect of individualized positive end-expiratory pressure based on electrical impedance tomography guidance on pulmonary ventilation distribution in patients who receive abdominal thermal perfusion chemotherapy","volume":"10","author":[{"family":"Xiao","given":"Li"},{"family":"Yu","given":"Kang"},{"family":"Yang","given":"Jiao-Jiao"},{"family":"Liu","given":"Wen-Tao"},{"family":"Liu","given":"Lei"},{"family":"Miao","given":"Hui-Hui"},{"family":"Li","given":"Tian-Zuo"}],"issued":{"date-parts":[["2023",9,5]]}}}],"schema":"https://github.com/citation-style-language/schema/raw/master/csl-citation.json"} </w:instrText>
      </w:r>
      <w:r w:rsidR="00452790" w:rsidRPr="00483D15">
        <w:rPr>
          <w:lang w:val="en-US"/>
        </w:rPr>
        <w:fldChar w:fldCharType="separate"/>
      </w:r>
      <w:r w:rsidR="00B4262B" w:rsidRPr="00B4262B">
        <w:rPr>
          <w:rFonts w:cs="Times New Roman"/>
        </w:rPr>
        <w:t>[1,14,17,58,67]</w:t>
      </w:r>
      <w:r w:rsidR="00452790" w:rsidRPr="00483D15">
        <w:rPr>
          <w:lang w:val="en-US"/>
        </w:rPr>
        <w:fldChar w:fldCharType="end"/>
      </w:r>
      <w:r w:rsidRPr="00483D15">
        <w:rPr>
          <w:lang w:val="en-US"/>
        </w:rPr>
        <w:t>, ultrasound (US)-guided</w:t>
      </w:r>
      <w:r w:rsidR="001A4462">
        <w:rPr>
          <w:lang w:val="en-US"/>
        </w:rPr>
        <w:t xml:space="preserve"> </w:t>
      </w:r>
      <w:r w:rsidR="00230500" w:rsidRPr="00483D15">
        <w:rPr>
          <w:lang w:val="en-US"/>
        </w:rPr>
        <w:fldChar w:fldCharType="begin"/>
      </w:r>
      <w:r w:rsidR="0043544C">
        <w:rPr>
          <w:lang w:val="en-US"/>
        </w:rPr>
        <w:instrText xml:space="preserve"> ADDIN ZOTERO_ITEM CSL_CITATION {"citationID":"aiY1LmvC","properties":{"formattedCitation":"[49,56]","plainCitation":"[49,56]","noteIndex":0},"citationItems":[{"id":177,"uris":["http://zotero.org/users/local/L5HAWlIW/items/TAVD8H27"],"itemData":{"id":177,"type":"article-journal","abstract":"NA","container-title":"Surgery for obesity and related diseases : official journal of the American Society for Bariatric Surgery","DOI":"10.1016/j.soard.2020.09.023","issue":"2","note":"publisher: Elsevier Inc.","page":"372-378","title":"The use of intraoperative bedside lung ultrasound in optimizing positive end expiratory pressure in obese patients undergoing laparoscopic bariatric surgeries.","volume":"17","author":[{"family":"Elshazly","given":"M.O.; Khair","suffix":"Tamer Mohamed; Bassem, Marina; Mansour, M. A."}],"issued":{"date-parts":[["2020"]]}}},{"id":1568,"uris":["http://zotero.org/users/local/L5HAWlIW/items/5DJWX5NC"],"itemData":{"id":1568,"type":"article-journal","abstract":"Abstract\n            \n              Objective\n              To evaluate the effect of the individualized positive end-expiratory pressure (PEEP) lung protection ventilation strategy by combining driving pressure (ΔP) and pulmonary ultrasound (LUS)-based titration on lung function and postoperative cognitive function in patients with chronic obstructive pulmonary disease (COPD) during laparoscopic surgery.\n            \n            \n              Methods\n              \n                A total of 108 patients with COPD undergoing laparoscopic gastrointestinal surgery under general anesthesia were included in this study. They were randomly divided into three groups (n = 36): traditional volume ventilation group (Group C), fixed PEEP 5 cmH\n                2\n                O group (Group P), and ΔP combined with LUS-based PEEP titration in the resuscitation room group (Group T). All three groups were given volume ventilation mode, I:E = 1:2; In group C, VT was 10 mL/kg and PEEP was 0 cmH\n                2\n                O; In groups P and T, VT was 6 mL/kg and PEEP was 5 cmH\n                2\n                O; After mechanical ventilation for 15 min in Group T, ΔP in combination with LUS was used to titrate PEEP. The oxygenation index (PaO2/FiO2), airway platform pressure (Pplat), dynamic lung compliance (Cdyn), Montreal Cognitive Assessment (MoCA), and venous interleukin-6(IL-6) were recorded at the corresponding time points, and the final PEEP value in Group T was recorded.\n              \n            \n            \n              Results\n              \n                The final PEEP value of Group T was (6.4 ± 1.2) cmH\n                2\n                O; Compared with groups C and P: PaO\n                2\n                /FiO\n                2\n                and Cdyn in Group T were significantly increased (\n                P\n                 &lt; 0.05) and value of IL-6 was significantly decreased (\n                P\n                 &lt; 0.05) at the corresponding time points. Compared with group C, the MoCA score on day 7 after surgery in Group T was significantly higher (\n                P\n                 &lt; 0.05).\n              \n            \n            \n              Conclusion\n              Compared with the traditional ventilation strategy, the individualized ΔP combined with LUS-based PEEP titration in patients with COPD during the perioperative period of laparoscopic surgery can play a better role in lung protection and can improve postoperative cognitive function.","container-title":"BMC Pulmonary Medicine","DOI":"10.1186/s12890-023-02471-y","ISSN":"1471-2466","issue":"1","journalAbbreviation":"BMC Pulm Med","language":"en","page":"232","source":"DOI.org (Crossref)","title":"Effect of individualized PEEP titration by ultrasonography on perioperative pulmonary protection and postoperative cognitive function in patients with chronic obstructive pulmonary disease","volume":"23","author":[{"family":"Luo","given":"Lai-feng"},{"family":"Lin","given":"Yu-mei"},{"family":"Liu","given":"Ying"},{"family":"Gao","given":"Xiao-hua"},{"family":"Li","given":"Chui-yu"},{"family":"Zhang","given":"Xiao-qi"},{"family":"Wu","given":"Jian-hua"},{"family":"Chen","given":"Zhi-yuan"}],"issued":{"date-parts":[["2023",6,28]]}}}],"schema":"https://github.com/citation-style-language/schema/raw/master/csl-citation.json"} </w:instrText>
      </w:r>
      <w:r w:rsidR="00230500" w:rsidRPr="00483D15">
        <w:rPr>
          <w:lang w:val="en-US"/>
        </w:rPr>
        <w:fldChar w:fldCharType="separate"/>
      </w:r>
      <w:r w:rsidR="0043544C" w:rsidRPr="0043544C">
        <w:rPr>
          <w:rFonts w:cs="Times New Roman"/>
        </w:rPr>
        <w:t>[49,56]</w:t>
      </w:r>
      <w:r w:rsidR="00230500" w:rsidRPr="00483D15">
        <w:rPr>
          <w:lang w:val="en-US"/>
        </w:rPr>
        <w:fldChar w:fldCharType="end"/>
      </w:r>
      <w:r w:rsidRPr="00483D15">
        <w:rPr>
          <w:lang w:val="en-US"/>
        </w:rPr>
        <w:t>, driving pressure-guided</w:t>
      </w:r>
      <w:r w:rsidR="001A4462">
        <w:rPr>
          <w:lang w:val="en-US"/>
        </w:rPr>
        <w:t xml:space="preserve"> </w:t>
      </w:r>
      <w:r w:rsidR="00230500" w:rsidRPr="00483D15">
        <w:rPr>
          <w:lang w:val="en-US"/>
        </w:rPr>
        <w:fldChar w:fldCharType="begin"/>
      </w:r>
      <w:r w:rsidR="00C2011E">
        <w:rPr>
          <w:lang w:val="en-US"/>
        </w:rPr>
        <w:instrText xml:space="preserve"> ADDIN ZOTERO_ITEM CSL_CITATION {"citationID":"rHhJA98p","properties":{"formattedCitation":"[45,52,57,63\\uc0\\u8211{}65]","plainCitation":"[45,52,57,63–65]","noteIndex":0},"citationItems":[{"id":182,"uris":["http://zotero.org/users/local/L5HAWlIW/items/463AFJSV"],"itemData":{"id":182,"type":"article-journal","abstract":"&lt;AbstractText Label=\"BACKGROUND\"&gt;Driving pressure (ΔP = Plateau pressure-PEEP) is highly correlated with postoperative pulmonary complications (PPCs) and appears to be a promising indicator for optimizing ventilator settings. We hypothesized that dynamic, individualized positive end-expiratory pressure (PEEP) guided by ΔP could reduce postoperative atelectasis and improve intraoperative oxygenation, respiratory mechanics, and reduce the incidence of PPCs on elderly patients undergoing laparoscopic surgery.&lt;/AbstractText&gt; &lt;AbstractText Label=\"METHODS\"&gt;Fifty-one elderly patients who were subject to laparoscopic surgery participated in this randomized trial. In the PEEP titration group (DV group), the PEEP titration was decremented to the lowest ΔP and repeated every 1 h. Additional procedures were also performed when performing predefined events that may be associated with lung collapse. In the constant PEEP group (PV group), a PEEP of 6 cmH&lt;sub&gt;2&lt;/sub&gt;O was used throughout the surgery. Moreover, zero PEEP was applied during the entire procedure in the conventional ventilation group (CV group). The primary objective of this study was lung ultrasound score noted at the end of surgery and 15 min after admission to the post-anesthesia care unit (PACU) at 12 lung areas bilaterally. The secondary endpoints were perioperative oxygenation function, expiratory mechanics, and the incidence of the PPCs.&lt;/AbstractText&gt; &lt;AbstractText Label=\"RESULTS\"&gt;The lung ultrasound scores of the DV group were significantly lower than those in the PV group and CV group (P &amp;lt; 0.05), whereas there was no significant difference between the PV group and CV group (P &amp;gt; 0.05). The lung static compliance (Cstat) and ΔP at all the intraoperative time points in the DV group were significantly better compared to the PV group and the CV group (p &amp;lt; 0.05).&lt;/AbstractText&gt; &lt;AbstractText Label=\"CONCLUSIONS\"&gt;Intraoperative titrated PEEP reduced postoperative lung atelectasis and improved respiratory mechanics in elderly patients undergoing laparoscopic surgery. Meanwhile, standard PEEP strategy is not superior to conventional ventilation in reducing postoperative pulmonary atelectasis in laparoscopic surgery.&lt;/AbstractText&gt; &lt;CopyrightInformation&gt;© 2022. The Author(s).&lt;/CopyrightInformation&gt;","container-title":"BMC anesthesiology","DOI":"10.1186/s12871-022-01613-9","issue":"1","note":"publisher: BioMed Central","page":"72-NA","title":"Effects of dynamic individualized PEEP guided by driving pressure in laparoscopic surgery on postoperative atelectasis in elderly patients: a prospective randomized controlled trial.","volume":"22","author":[{"family":"Xu","given":"Qi; Guo","suffix":"Xiao; Liu, Jiang; Li, Si-Xun; Ma, Hai-Rui; Wang, Fei-Xiang; Lin, Jing-Yan"}],"issued":{"date-parts":[["2022"]]}}},{"id":1570,"uris":["http://zotero.org/users/local/L5HAWlIW/items/V3SBX9HI"],"itemData":{"id":1570,"type":"article-journal","container-title":"British Journal of Anaesthesia","DOI":"10.1016/j.bja.2023.08.007","ISSN":"00070912","issue":"5","journalAbbreviation":"British Journal of Anaesthesia","language":"en","page":"955-965","source":"DOI.org (Crossref)","title":"Effect of driving pressure-guided positive end-expiratory pressure on postoperative pulmonary complications in patients undergoing laparoscopic or robotic surgery: a randomised controlled trial","title-short":"Effect of driving pressure-guided positive end-expiratory pressure on postoperative pulmonary complications in patients undergoing laparoscopic or robotic surgery","volume":"131","author":[{"family":"Kim","given":"Yoon Jung"},{"family":"Kim","given":"Bo Rim"},{"family":"Kim","given":"Hee Won"},{"family":"Jung","given":"Ji-Yoon"},{"family":"Cho","given":"Hye-Yeon"},{"family":"Seo","given":"Jeoung-Hwa"},{"family":"Kim","given":"Won Ho"},{"family":"Kim","given":"Hee-Soo"},{"family":"Hwangbo","given":"Suhyun"},{"family":"Yoon","given":"Hyun-Kyu"}],"issued":{"date-parts":[["2023",11]]}}},{"id":22,"uris":["http://zotero.org/users/local/L5HAWlIW/items/J95XU98Y"],"itemData":{"id":22,"type":"article-journal","container-title":"Surgery","DOI":"10.1016/j.surg.2021.01.047","ISSN":"00396060","issue":"1","journalAbbreviation":"Surgery","language":"en","note":"number: 1","page":"277-283","source":"DOI.org (Crossref)","title":"Effect of driving pressure-guided positive end-expiratory pressure (PEEP) titration on postoperative lung atelectasis in adult patients undergoing elective major abdominal surgery: A randomized controlled trial","title-short":"Effect of driving pressure-guided positive end-expiratory pressure (PEEP) titration on postoperative lung atelectasis in adult patients undergoing elective major abdominal surgery","volume":"170","author":[{"family":"Mini","given":"Gouri"},{"family":"Ray","given":"Bikash R."},{"family":"Anand","given":"Rahul K."},{"family":"Muthiah","given":"Thilaka"},{"family":"Baidya","given":"Dalim K."},{"family":"Rewari","given":"Vimi"},{"family":"Sahni","given":"Peush"},{"family":"Maitra","given":"Souvik"}],"issued":{"date-parts":[["2021",7]]}}},{"id":1558,"uris":["http://zotero.org/users/local/L5HAWlIW/items/QIKG7S9M"],"itemData":{"id":1558,"type":"article-journal","container-title":"Diabetes, Metabolic Syndrome and Obesity","DOI":"10.2147/DMSO.S405804","ISSN":"1178-7007","journalAbbreviation":"DMSO","language":"en","license":"https://creativecommons.org/licenses/by-nc/3.0/","page":"1515-1523","source":"DOI.org (Crossref)","title":"Driving Pressure-Guided Ventilation in Obese Patients Undergoing Laparoscopic Sleeve Gastrectomy: A Randomized Controlled Trial","title-short":"Driving Pressure-Guided Ventilation in Obese Patients Undergoing Laparoscopic Sleeve Gastrectomy","volume":"Volume 16","author":[{"family":"Yang","given":"Guanyu"},{"family":"Zhang","given":"Pin"},{"family":"Li","given":"Liumei"},{"family":"Wang","given":"Jingjing"},{"family":"Jiao","given":"Pengfei"},{"family":"Wang","given":"Jie"},{"family":"Chu","given":"Qinjun"}],"issued":{"date-parts":[["2023",5]]}}},{"id":157,"uris":["http://zotero.org/users/local/L5HAWlIW/items/9I65CFBK"],"itemData":{"id":157,"type":"article-journal","abstract":"Background The optimal positive end-expiratory pressure (PEEP) to prevent postoperative pulmonary complications (PPCs) remains unclear. Recent evidence showed that driving pressure was closely related to PPCs. In this study, we tested the hypothesis that an individualized PEEP guided by minimum driving pressure during abdominal surgery would reduce the incidence of PPCs. Methods This single-centered, randomized controlled trial included a total of 148 patients scheduled for open upper abdominal surgery. Patients were randomly assigned to receive an individualized PEEP guided by minimum driving pressure or an empiric fixed PEEP of 6 cm H2O. The primary outcome was the incidence of clinically significant PPCs within the first 7 days after surgery, using a χ2 test. Secondary outcomes were the severity of PPCs, the area of atelectasis, and pleural effusion. Other outcomes, such as the incidence of different types of PPCs (including hypoxemia, atelectasis, pleural effusion, dyspnea, pneumonia, pneumothorax, and acute respiratory distress syndrome), intensive care unit (ICU) admission rate, length of hospital stay, and 30-day mortality were also explored. Results The median value of PEEP in the individualized group was 10 cm H2O. The incidence of clinically significant PPCs was significantly lower in the individualized PEEP group compared with that in the fixed PEEP group (26 of 67 [38.8%] vs 42 of 67 [62.7%], relative risk = 0.619, 95% confidence intervals, 0.435-0.881; P = .006). The overall severity of PPCs and the area of atelectasis were also significantly diminished in the individualized PEEP group. Higher respiratory compliance during surgery and improved intra- and postoperative oxygenation was observed in the individualized group. No significant differences were found in other outcomes between the 2 groups, such as ICU admission rate or 30-day mortality. Conclusions The application of individualized PEEP based on minimum driving pressure may effectively decrease the severity of atelectasis, improve oxygenation, and reduce the incidence of clinically significant PPCs after open upper abdominal surgery.","container-title":"Anesthesia and analgesia","DOI":"10.1213/ane.0000000000005575","issue":"5","note":"publisher: Lippincott Williams and Wilkins","page":"1197-1205","title":"Driving Pressure-Guided Individualized Positive End-Expiratory Pressure in Abdominal Surgery: A Randomized Controlled Trial.","volume":"133","author":[{"family":"Zhang","given":"Chengmi; Xu","suffix":"Fengying; Li, Weiwei; Tong, Xingyu; Xia, Ran; Wang, Wei; Du, Jianer; Shi, Xueyin"}],"issued":{"date-parts":[["2021"]]}}},{"id":1556,"uris":["http://zotero.org/users/local/L5HAWlIW/items/BRUJD782"],"itemData":{"id":1556,"type":"article-journal","abstract":"Abstract\n            \n              To investigate whether driving pressure–guided ventilation could contribute to a more homogeneous distribution in the lung for gynecological laparoscopy. Chinese patients were randomized, after pneumoperitoneum, to receive either positive end expiratory pressure (PEEP) of 5 cm H\n              2\n              O (control group), or individualized PEEP producing the lowest driving pressure (titration group). Ventilation homogeneity is quantified as the global inhomogeneity (GI) index based on electrical impedance tomography, with a lower index implying more homogeneous ventilation. The perioperative arterial oxygenation index and respiratory system mechanics were also recorded. Blood samples were collected for lung injury biomarkers including interleukin-10, neutrophil elastase, and Clara Cell protein-16. A total of 48 patients were included for analysis. We observed a significant increase in the GI index immediately after tracheal extubation compared to preinduction in the control group (\n              p\n               = 0.040) but not in the titration group (\n              p\n               = 0.279). Furthermore, the GI index was obviously lower in the titration group than in the control group [0.390 (0.066) vs 0.460 (0.074),\n              p\n               = 0.0012]. The oxygenation index and respiratory compliance were significantly higher in the titration group than in the control group. No significant differences in biomarkers or hemodynamics were detected between the two groups. Driving pressure–guided PEEP led to more homogeneous ventilation, as well as improved gas exchange and respiratory compliance for patients undergoing gynecological laparoscopy.\n            \n            \n              Trial Registration\n              : ClinicalTrials.gov NCT04374162; first registration on 05/05/2020.","container-title":"Scientific Reports","DOI":"10.1038/s41598-022-26144-8","ISSN":"2045-2322","issue":"1","journalAbbreviation":"Sci Rep","language":"en","page":"21687","source":"DOI.org (Crossref)","title":"Driving pressure-guided ventilation improves homogeneity in lung gas distribution for gynecological laparoscopy: a randomized controlled trial","title-short":"Driving pressure-guided ventilation improves homogeneity in lung gas distribution for gynecological laparoscopy","volume":"12","author":[{"family":"Zhang","given":"Wei"},{"family":"Liu","given":"Feifei"},{"family":"Zhao","given":"Zhanqi"},{"family":"Shao","given":"Chunqing"},{"family":"Xu","given":"Xin"},{"family":"Ma","given":"Jiajia"},{"family":"Han","given":"Ruquan"}],"issued":{"date-parts":[["2022",12,15]]}}}],"schema":"https://github.com/citation-style-language/schema/raw/master/csl-citation.json"} </w:instrText>
      </w:r>
      <w:r w:rsidR="00230500" w:rsidRPr="00483D15">
        <w:rPr>
          <w:lang w:val="en-US"/>
        </w:rPr>
        <w:fldChar w:fldCharType="separate"/>
      </w:r>
      <w:r w:rsidR="00C2011E" w:rsidRPr="00C2011E">
        <w:rPr>
          <w:rFonts w:cs="Times New Roman"/>
          <w:kern w:val="0"/>
        </w:rPr>
        <w:t>[45,52,57,63–65]</w:t>
      </w:r>
      <w:r w:rsidR="00230500" w:rsidRPr="00483D15">
        <w:rPr>
          <w:lang w:val="en-US"/>
        </w:rPr>
        <w:fldChar w:fldCharType="end"/>
      </w:r>
      <w:r w:rsidRPr="00483D15">
        <w:rPr>
          <w:lang w:val="en-US"/>
        </w:rPr>
        <w:t>, transpulmonary pressure-guided</w:t>
      </w:r>
      <w:r w:rsidR="001A4462">
        <w:rPr>
          <w:lang w:val="en-US"/>
        </w:rPr>
        <w:t xml:space="preserve"> </w:t>
      </w:r>
      <w:r w:rsidR="00230500" w:rsidRPr="00483D15">
        <w:rPr>
          <w:lang w:val="en-US"/>
        </w:rPr>
        <w:fldChar w:fldCharType="begin"/>
      </w:r>
      <w:r w:rsidR="00A768E4">
        <w:rPr>
          <w:lang w:val="en-US"/>
        </w:rPr>
        <w:instrText xml:space="preserve"> ADDIN ZOTERO_ITEM CSL_CITATION {"citationID":"041nlm8m","properties":{"formattedCitation":"[46,48,59]","plainCitation":"[46,48,59]","noteIndex":0},"citationItems":[{"id":149,"uris":["http://zotero.org/users/local/L5HAWlIW/items/HSM2JN5A"],"itemData":{"id":149,"type":"article-journal","abstract":"Abstract Background Higher intraoperative driving pressures (ΔP) are associated with increased postoperative pulmonary complications (PPC). We hypothesised that dynamic adjustment of PEEP throughout abdominal surgery reduces ΔP, maintains positive end-expiratory transpulmonary pressures (Ptp_ee) and increases respiratory system static compliance (Crs) with PEEP levels that are variable between and within patients. Methods In a prospective multicentre pilot study, adults at moderate/high risk for PPC undergoing elective abdominal surgery were randomised to one of three ventilation protocols: (1) PEEP≤2 cm H2O, compared with periodic recruitment manoeuvres followed by individualised PEEP to either optimise respiratory system compliance (PEEPmaxCrs) or maintain positive end-expiratory transpulmonary pressure (PEEPPtp_ee). The composite primary outcome included intraoperative ΔP, Ptp_ee, Crs, and PEEP values (median (interquartile range) and coefficients of variation [CVPEEP]). Results Thirty-seven patients (48.6% female; age range: 47–73 yr) were assigned to control (PEEP≤2 cm H2O; n=13), PEEPmaxCrs (n=16), or PEEPPtp_ee (n=8) groups. The PEEPPtp_ee intervention could not be delivered in two patients. Subjects assigned to PEEPmaxCrs had lower ΔP (median8 cm H2O [7–10]), compared with the control group (12 cm H2O [10–15]; P=0.006). PEEPmaxCrs was also associated with higher Ptp_ee (2.0 cm H2O [-0.7 to 4.5] vs controls: -8.3 cm H2O [-13.0 to -4.0]; P≤0.001) and higher Crs (47.7 ml cm H2O [43.2–68.8] vs controls: 39.0 ml cm H2O [32.9–43.4]; P=0.009). Individualised PEEP (PEEPmaxCrs and PEEPPtp_ee combined) varied widely (median: 10 cm H2O [8-15]; CVPEEP=0.24 [0.14–0.35]), both between, and within, subjects throughout surgery. Conclusions This pilot study suggests that individualised PEEP management strategies applied during abdominal surgery reduce driving pressure, maintain positive Ptp_ee and increase static compliance. The wide range of PEEP observed suggests that an individualised approach is required to optimise respiratory mechanics during abdominal surgery. Clinical trial registration NCT02671721.","container-title":"British journal of anaesthesia","DOI":"10.1016/j.bja.2020.06.030","issue":"3","note":"publisher: Oxford University Press","page":"383-392","title":"Individualized PEEP to optimise respiratory mechanics during abdominal surgery: a pilot randomised controlled trial","volume":"125","author":[{"family":"Fernandez-Bustamante","given":"Ana; Sprung","suffix":"Juraj; Parker, Robert A.; Bartels, Karsten; Weingarten, Toby N.; Kosour, Carolina; Thompson, B. Taylor; Melo, Marcos F. Vidal"}],"issued":{"date-parts":[["2020"]]}}},{"id":198,"uris":["http://zotero.org/users/local/L5HAWlIW/items/YALB6N24"],"itemData":{"id":198,"type":"article-journal","abstract":"Bariatric surgery has proven a successful approach in the treatment of morbid obesity and its concomitant diseases such as diabetes mellitus and arterial hypertension. Aiming for optimal management of this challenging patient cohort, tailored concepts directly guided by individual patient physiology may outperform standardized care. Implying esophageal pressure measurement and electrical impedance tomography—increasingly applied monitoring approaches to individually adjust mechanical ventilation in challenging circumstances like acute respiratory distress syndrome (ARDS) and intraabdominal hypertension—we compared our institutions standard ventilator regimen with an individually adjusted positive end expiratory pressure (PEEP) level aiming for a positive transpulmonary pressure (P L) throughout the respiratory cycle. After obtaining written informed consent, 37 patients scheduled for elective bariatric surgery were studied during mechanical ventilation in reverse Trendelenburg position. Before and after installation of capnoperitoneum, PEEP levels were gradually raised from a standard value of 10 cm H2O until a P L of 0 +/− 1 cm H2O was reached. Changes in ventilation were monitored by electrical impedance tomography (EIT) and arterial blood gases (ABGs) were obtained at the end of surgery and 5 and 60 min after extubation, respectively. To achieve the goal of a transpulmonary pressure (P L) of 0 cm H2O at end expiration, PEEP levels of 16.7 cm H2O (95% KI 15.6–18.1) before and 23.8 cm H2O (95% KI 19.6–40.4) during capnoperitoneum were necessary. EIT measurements confirmed an optimal PEEP level between 10 and 15 cm H2O before and 20 and 25 cm H2O during capnoperitoneum, respectively. Intra- and postoperative oxygenation did not change significantly. Patients during laparoscopic bariatric surgery require high levels of PEEP to maintain a positive transpulmonary pressure throughout the respiratory cycle. EIT monitoring allows for non-invasive monitoring of increasing PEEP demand during capnoperitoneum. Individually adjusted PEEP levels did not result in improved postoperative oxygenation.","container-title":"Obesity surgery","DOI":"10.1007/s11695-017-2794-3","issue":"1","note":"publisher: Springer New York","page":"122-129","title":"Intraoperative Ventilation of Morbidly Obese Patients Guided by Transpulmonary Pressure.","volume":"28","author":[{"family":"Eichler","given":"Lars; Truskowska","suffix":"Katarzyna; Duprée, Anna; Busch, Philipp; Goetz, Alwin E.; Zöllner, Christian"}],"issued":{"date-parts":[["2017"]]}}},{"id":168,"uris":["http://zotero.org/users/local/L5HAWlIW/items/67NQ5YJS"],"itemData":{"id":168,"type":"article-journal","abstract":"BACKGROUND The creation of pneumoperitoneum during laparoscopic surgery can lead to adverse effects on the respiratory system. Positive end-expiratory pressure (PEEP) plays an important role in mechanical ventilation during laparoscopic surgery. OBJECTIVE To evaluate whether PEEP setting guided by oesophageal pressure (Poeso) measurement would affect oxygenation and respiratory mechanics during laparoscopic gynaecological surgery. DESIGN A randomised controlled study. SETTING A single-centre trial from March 2018 to June 2018. PATIENTS Forty-four adult patients undergoing laparoscopic gynaecological surgery with anticipated duration of surgery more than 2 h. INTERVENTION PEEP set according to Poeso measurement (intervention group) versus PEEP constantly set at 5 cmH2O (control group). MAIN OUTCOME MEASURES Gas exchange and respiratory mechanics after induction and intubation (T0) and at 15 and 60 min after initiation of pneumoperitoneum (T1 and T2, respectively). RESULTS PEEP during pneumoperitoneum was significantly higher in the intervention group than in the control group (T1, 12.5 ± 1.9 vs. 5.0 ± 0.0 cmH2O and T2, 12.4 ± 1.9 vs. 5.0 ± 0.0 cmH2O, both P &lt; 0.001). Partial pressures of oxygen decreased significantly from baseline during pneumoperitoneum in the control group but not in the intervention group. Nevertheless, the changes in partial pressures of oxygen did not differ between groups. Compliance of the respiratory system (CRS) significantly decreased and driving pressure significantly increased during pneumoperitoneum in both groups. However, the changes in CRS and driving pressure were significantly less in the intervention group. Transpulmonary pressure during expiration was maintained in the intervention group while it decreased significantly in the control group. CONCLUSION PEEP setting guided by Poeso measurement showed no beneficial effects in terms of oxygenation but respiratory mechanics were better during laparoscopic gynaecological surgery. TRIAL REGISTRATION ClinicalTrials.gov identifier: NCT03256396.","container-title":"European journal of anaesthesiology","DOI":"10.1097/eja.0000000000001204","issue":"11","note":"publisher: Wolters Kluwer Health","page":"1032-1039","title":"Effects of intra-operative positive end-expiratory pressure setting guided by oesophageal pressure measurement on oxygenation and respiratory mechanics during laparoscopic gynaecological surgery: A randomised controlled trial.","volume":"37","author":[{"family":"Piriyapatsom","given":"Annop; Phetkampang","suffix":"Sanchai"}],"issued":{"date-parts":[["2020"]]}}}],"schema":"https://github.com/citation-style-language/schema/raw/master/csl-citation.json"} </w:instrText>
      </w:r>
      <w:r w:rsidR="00230500" w:rsidRPr="00483D15">
        <w:rPr>
          <w:lang w:val="en-US"/>
        </w:rPr>
        <w:fldChar w:fldCharType="separate"/>
      </w:r>
      <w:r w:rsidR="00A768E4" w:rsidRPr="00A768E4">
        <w:rPr>
          <w:rFonts w:cs="Times New Roman"/>
        </w:rPr>
        <w:t>[46,48,59]</w:t>
      </w:r>
      <w:r w:rsidR="00230500" w:rsidRPr="00483D15">
        <w:rPr>
          <w:lang w:val="en-US"/>
        </w:rPr>
        <w:fldChar w:fldCharType="end"/>
      </w:r>
      <w:r w:rsidRPr="00483D15">
        <w:rPr>
          <w:lang w:val="en-US"/>
        </w:rPr>
        <w:t>, and compliance-optimizing techniques</w:t>
      </w:r>
      <w:r w:rsidR="001A4462">
        <w:rPr>
          <w:lang w:val="en-US"/>
        </w:rPr>
        <w:t xml:space="preserve"> </w:t>
      </w:r>
      <w:r w:rsidR="00230500" w:rsidRPr="00483D15">
        <w:rPr>
          <w:lang w:val="en-US"/>
        </w:rPr>
        <w:fldChar w:fldCharType="begin"/>
      </w:r>
      <w:r w:rsidR="005F1C47">
        <w:rPr>
          <w:lang w:val="en-US"/>
        </w:rPr>
        <w:instrText xml:space="preserve"> ADDIN ZOTERO_ITEM CSL_CITATION {"citationID":"7C2X9K5D","properties":{"formattedCitation":"[6,13,15,46,50,53\\uc0\\u8211{}55,60\\uc0\\u8211{}62,66,68]","plainCitation":"[6,13,15,46,50,53–55,60–62,66,68]","noteIndex":0},"citationItems":[{"id":167,"uris":["http://zotero.org/users/local/L5HAWlIW/items/53VQRNW3"],"itemData":{"id":167,"type":"article-journal","abstract":"Applying lung protective mechanical ventilation (LPV) during general anaesthesia even in patients with non-injured lungs is recommended. However, the effects of an individual PEEP-optimisation on respiratory mechanics, oxygenation and their potential correlation with the inflammatory response and postoperative complications have not been evaluated have not been compared to standard LPV in patients undergoing major abdominal surgery. Thirty-nine patients undergoing open radical cystectomy were enrolled in this study. In the study group (SG) optimal PEEP was determined by a decremental titration procedure and defined as the PEEP value resulting the highest static pulmonary compliance. In the control group (CG) PEEP was set to 6 cmH2O. Primary endpoints were intraoperative respiratory mechanics and gas exchange parameters. Secondary outcomes were perioperative procalcitonin kinetics and postoperative pulmonary complications. Optimal PEEP levels (median = 10, range: 8–14 cmH2O), PaO2/FiO2 (451.24 ± 121.78 mmHg vs. 404.15 ± 115.87 mmHg, P = 0.005) and static pulmonary compliance (52.54 ± 13.59 ml cmH2O-1 vs. 45.22 ± 9.13 ml cmH2O-1, P &lt; 0.0001) were significantly higher, while driving pressure (8.26 ± 1.74 cmH2O vs. 9.73 ± 4.02 cmH2O, P &lt; 0.0001) was significantly lower in the SG as compared to the CG. No significant intergroup differences were found in procalcitonin kinetics (P = 0.076). Composite outcome results indicated a non-significant reduction of postoperative complications in the SG. Intraoperative PEEP-optimization resulted in significant improvement in gas exchange and pulmonary mechanics as compared to standard LPV. Whether these have any effect on short and long term outcomes require further investigations. Trial registration: Clinicaltrials.gov, identifier: NCT02931409.","container-title":"Journal of clinical monitoring and computing","DOI":"10.1007/s10877-020-00519-6","issue":"3","note":"publisher: Springer Netherlands","page":"469-482","title":"Effects of intraoperative positive end-expiratory pressure optimization on respiratory mechanics and the inflammatory response: a randomized controlled trial","volume":"35","author":[{"family":"Ruszkai","given":"Zoltán; Kiss","suffix":"Erika; László, Ildikó; Bokrétás, Gergely Péter; Vizserálek, Dóra; Vámossy, Ildikó; Surány, Erika; Buzogány, István; Bajory, Zoltán; Molnár, Zsolt"}],"issued":{"date-parts":[["2020"]]}}},{"id":178,"uris":["http://zotero.org/users/local/L5HAWlIW/items/BNXF362C"],"itemData":{"id":178,"type":"article-journal","abstract":"NA","container-title":"The Lancet. Respiratory medicine","DOI":"10.1016/s2213-2600(18)30024-9","issue":"3","note":"publisher: Elsevier Limited","page":"193-203","title":"Individualised perioperative open-lung approach versus standard protective ventilation in abdominal surgery (iPROVE): a randomised controlled trial.","volume":"6","author":[{"family":"Ferrando","given":"Carlos; Soro","suffix":"Marina; Unzueta, Carmen; Suarez-Sipmann, Fernando; Canet, Jaume; Librero, Julián; Pozo, Natividad; Peiró, Salvador; Llombart, Alicia; León, Irene; India, Inmaculada; Aldecoa, Cesar; Diaz-Cambronero, Oscar; Pestaña, David; Redondo, Francisco J; Garutti, Ignacio; Balust, Jaume; García, Jose Ignacio; Ibáñez, Maite; Granell, M.; Rodríguez, Aurelio; Gallego, Lucía; de la Matta, Manuel; González, Rafael; Brunelli, Andrea; García, Javier Contreras; Rovira, Lucas; Barrios, Francisco; Torres, Vicente; Hernández, Samuel; Gracia, Estefania; Giné, Marta; Garcia, Maria; Garcia, Nuria; Miguel, Lisset; Sánchez, Sergio; Piñeiro, Patricia; Pujol, Roger; García-del-Valle, Santiago; Valdivia, José; Hernández, María; Padrón, Oto; Colás, Ana; Puig, Jaume; Azparren, Gonzalo; Tusman, Gerardo; Villar, Jesús; Belda, Javier; Acosta, Jesús; Aguilar, Gerardo; Alberola, María José; Alcón, Amalia; Alonso, Jose M.; Alonso, María Dolores; Anaya, Rafael; Argente, María Pilar; Agilaga, Marta; Arocas, Blanca; Asensio, Ana; Ayas, Begoña; Ayuso, Mercedes; Balandrón, Victor; Del Barrio, Maria; Bejarano, Natalia; Benítez, Inmaculada; Cabrera, Sergio; Carbonell, José A.; Carramiñana, Albert; Carrizo, Juan; Cegarra, Virginia; Chamorro, Estefanía; Charco, Pedro; Cruz, Patricia; Daviu, Francisco; De Fez, Mario; de Miguel, Angeles; Del Río, Elena; Delgado, Carlos; Díaz, Ruben; Díaz, Susana; Díez, Fernando; Dosdá, Rosa; Duca, Alejandro; Etulain, Ma Justina; Fernández, Carmen; Franco, Tania; Fuentes, Isabel; Gallego, Clara; Gallego-Casilda, Alberto; Galve, Ana Isabel; Garcés, Cristina; García, Mercedes; Garcia, Pablo; Garrigues, Beatriz; Gilabert, Vicente; González, Domingo; Gutierrez, Andrea; Hernández, Inmaculada; Izquierdo, Ana; Jurado, Ana; Katime, Antonio; Llamazares, Eduardo; Lardies, Rosa; Lisbona, Cristina; López-Herrera, Daniel; López, Ramiro; Lozano, Angels; Lozano, Elena; Marcos, José M.; Martín, Silvia; Martínez, Nilda; Martínez, Rocío; Martínez-Pallí, Graciella; Mazzinari, Guido; Miñana, Amanda; Moral, Victoria; Moreno, Tania; Mugarra, Ana; Muñoz, Lorena; Navarro, José I.; Olmedilla, Luis; Olmedo, Jonathan; Ojeda, Nazario; Parera, Ana; Parra, María Asunción; Parrilla, Cristina; Pastor, Ernesto; Peña, Natalia; Pérez, Ana María; Pérez, Jose María; Piqueras, Laura; Rico-Feijoo, Jesús; Rodríguez, Rayco; Román, Javier Ignacio; Romero, Antonio; Romero, Carolina; Romero, Esther; Ruiz, Isabel; Sánchez, Ester; Sandín, Francisco; Serralta, Ferran; Socorro, Tania; Soriano, Laura; Tisner, Manuel; Valencia, Lucía; Valls, Paola; Vaquero, Laura; Varón, Viviana; Vila, María; Villazala, Rubén; Villena, Abigail; Zapatero, Sara"}],"issued":{"date-parts":[["2018"]]}}},{"id":143,"uris":["http://zotero.org/users/local/L5HAWlIW/items/DLC97TPW"],"itemData":{"id":143,"type":"article-journal","abstract":"For patients undergoing robot-assisted radical prostatectomy, the pneumoperitoneum with a steep Trendelenburg position could worsen intraoperative respiratory mechanics and result in postoperative atelectasis. We investigated the effects of individualized positive end-expiratory pressure (PEEP) on postoperative atelectasis, evaluated using lung ultrasonography. Sixty patients undergoing robot-assisted radical prostatectomy were randomly allocated into two groups. Individualized groups (n = 30) received individualized PEEP determined by a decremental PEEP trial using 20 to 7 cm H2O, aiming at maximizing respiratory compliance, whereas standardized groups (n = 30) received a standardized PEEP of 7 cm H2O during the pneumoperitoneum. Ultrasound examination was performed on 12 sections of thorax, and the lung ultrasound score was measured as 0-3 by considering the number of B lines and the degree of subpleural consolidation. The primary outcome was the difference between the lung ultrasound scores measured before anesthesia induction and just after extubation in the operating room. An increase in the difference means the development of atelectasis. The optimal PEEP in the individualized group was determined as the median (interquartile range) 14 (12-18) cm H2O. Compared with the standardized group, the difference in the lung ultrasound scores was significantly smaller in the individualized group (-0.5 ± 2.7 vs. 6.0 ± 2.9, mean difference -6.53, 95% confidence interval (-8.00 to -5.07), p &lt; 0.001), which means that individualized PEEP was effective to reduce atelectasis. The lung ultrasound score measured after surgery was significantly lower in the individualized group than the standardized group (8.1 ± 5.7 vs. 12.2 ± 4.2, mean difference -4.13, 95% confidence interval (-6.74 to -1.53), p = 0.002). However, the arterial partial pressure of the oxygen/fraction of inspired oxygen levels during the surgery showed no significant time-group interaction between the two groups in repeated-measures analysis of variance (p = 0.145). The incidence of a composite of postoperative respiratory complications was comparable between the two groups. Individualized PEEP determined by maximal respiratory compliance during the pneumoperitoneum and steep Trendelenburg position significantly reduced postoperative atelectasis, as evaluated using lung ultrasonography. However, the clinical significance of this finding should be evaluated by a larger clinical trial.","container-title":"Journal of clinical medicine","DOI":"10.3390/jcm10040850","issue":"4","note":"publisher: Multidisciplinary Digital Publishing Institute (MDPI)","page":"850-NA","title":"The Effect of Ventilation with Individualized Positive End-Expiratory Pressure on Postoperative Atelectasis in Patients Undergoing Robot-Assisted Radical Prostatectomy: A Randomized Controlled Trial.","volume":"10","author":[{"family":"Yoon","given":"Hyun Kyu; Kim","suffix":"Bo Rim; Yoon, Susie; Jeong, Young Hyun; Ku, Ja Hyeon; Kim, Won Ho"}],"issued":{"date-parts":[["2021"]]}}},{"id":149,"uris":["http://zotero.org/users/local/L5HAWlIW/items/HSM2JN5A"],"itemData":{"id":149,"type":"article-journal","abstract":"Abstract Background Higher intraoperative driving pressures (ΔP) are associated with increased postoperative pulmonary complications (PPC). We hypothesised that dynamic adjustment of PEEP throughout abdominal surgery reduces ΔP, maintains positive end-expiratory transpulmonary pressures (Ptp_ee) and increases respiratory system static compliance (Crs) with PEEP levels that are variable between and within patients. Methods In a prospective multicentre pilot study, adults at moderate/high risk for PPC undergoing elective abdominal surgery were randomised to one of three ventilation protocols: (1) PEEP≤2 cm H2O, compared with periodic recruitment manoeuvres followed by individualised PEEP to either optimise respiratory system compliance (PEEPmaxCrs) or maintain positive end-expiratory transpulmonary pressure (PEEPPtp_ee). The composite primary outcome included intraoperative ΔP, Ptp_ee, Crs, and PEEP values (median (interquartile range) and coefficients of variation [CVPEEP]). Results Thirty-seven patients (48.6% female; age range: 47–73 yr) were assigned to control (PEEP≤2 cm H2O; n=13), PEEPmaxCrs (n=16), or PEEPPtp_ee (n=8) groups. The PEEPPtp_ee intervention could not be delivered in two patients. Subjects assigned to PEEPmaxCrs had lower ΔP (median8 cm H2O [7–10]), compared with the control group (12 cm H2O [10–15]; P=0.006). PEEPmaxCrs was also associated with higher Ptp_ee (2.0 cm H2O [-0.7 to 4.5] vs controls: -8.3 cm H2O [-13.0 to -4.0]; P≤0.001) and higher Crs (47.7 ml cm H2O [43.2–68.8] vs controls: 39.0 ml cm H2O [32.9–43.4]; P=0.009). Individualised PEEP (PEEPmaxCrs and PEEPPtp_ee combined) varied widely (median: 10 cm H2O [8-15]; CVPEEP=0.24 [0.14–0.35]), both between, and within, subjects throughout surgery. Conclusions This pilot study suggests that individualised PEEP management strategies applied during abdominal surgery reduce driving pressure, maintain positive Ptp_ee and increase static compliance. The wide range of PEEP observed suggests that an individualised approach is required to optimise respiratory mechanics during abdominal surgery. Clinical trial registration NCT02671721.","container-title":"British journal of anaesthesia","DOI":"10.1016/j.bja.2020.06.030","issue":"3","note":"publisher: Oxford University Press","page":"383-392","title":"Individualized PEEP to optimise respiratory mechanics during abdominal surgery: a pilot randomised controlled trial","volume":"125","author":[{"family":"Fernandez-Bustamante","given":"Ana; Sprung","suffix":"Juraj; Parker, Robert A.; Bartels, Karsten; Weingarten, Toby N.; Kosour, Carolina; Thompson, B. Taylor; Melo, Marcos F. Vidal"}],"issued":{"date-parts":[["2020"]]}}},{"id":133,"uris":["http://zotero.org/users/local/L5HAWlIW/items/UXWZNMU2"],"itemData":{"id":133,"type":"article-journal","abstract":"Background: Low tidal volume (VT) during anesthesia minimizes lung injury but may be associated to a decrease in functional lung volume impairing lung mechanics and efficiency. Lung recruitment (RM ...","container-title":"PloS one","DOI":"10.1371/journal.pone.0177399","issue":"5","note":"publisher: Public Library of Science","page":"e0177399-NA","title":"Open lung approach versus standard protective strategies : Effects on driving pressure and ventilatory efficiency during anesthesia - A pilot, randomized controlled trial","volume":"12","author":[{"family":"Ferrando","given":"Carlos; Suarez-Sipmann","suffix":"Fernando; Tusman, Gerardo; León, Irene; Romero, Esther; Gracia, Estefania; Mugarra, Ana; Arocas, Blanca; Pozo, Natividad; Soro, Marina; Belda, Francisco Javier"}],"issued":{"date-parts":[["2017"]]}}},{"id":1518,"uris":["http://zotero.org/users/local/L5HAWlIW/items/RBGIT4XK"],"itemData":{"id":1518,"type":"article-journal","abstract":"Abstract\n            \n              The study aimed to investigate the efficacy of PCV-VG combined with individual PEEP during laparoscopic surgery in the Trendelenburg position. 120 patients were randomly divided into four groups: VF group (VCV plus 5cmH\n              2\n              O PEEP), PF group (PCV-VG plus 5cmH\n              2\n              O PEEP), VI group (VCV plus individual PEEP), and PI group (PCV-VG plus individual PEEP).\n              P\n              mean\n              ,\n              P\n              peak\n              , Cdyn, PaO\n              2\n              /FiO\n              2\n              ,\n              V\n              D\n              /V\n              T\n              , A-aDO\n              2\n              and Qs/Qt were recorded at T\n              1\n              (15 min after the induction of anesthesia), T\n              2\n              (60 min after pneumoperitoneum), and T\n              3\n              (5 min at the end of anesthesia). The CC16 and IL-6 were measured at T\n              1\n              and T\n              3\n              . Our results showed that the\n              P\n              mean\n              was increased in VI and PI group, and the\n              P\n              peak\n              was lower in PI group at T\n              2\n              . At T\n              2\n              and T\n              3\n              , the Cdyn of PI group was higher than that in other groups, and PaO\n              2\n              /FiO\n              2\n              was increased in PI group compared with VF and VI group. At T\n              2\n              and T\n              3\n              , A-aDO\n              2\n              of PI and PF group was reduced than that in other groups. The Qs/Qt was decreased in PI group compared with VF and VI group at T\n              2\n              and T\n              3\n              . At T\n              2\n              ,\n              V\n              D\n              /V\n              T\n              in PI group was decreased than other groups. At T\n              3\n              , the concentration of CC16 in PI group was lower compared with other groups, and IL-6 level of PI group was decreased than that in VF and VI group. In conclusion, the patients who underwent laparoscopic surgery, PCV-VG combined with individual PEEP produced favorable lung mechanics and oxygenation, and thus reducing inflammatory response and lung injury.\n            \n            \n              Clinical Trial registry\n              : chictr.org. identifier: ChiCTR-2100044928","container-title":"Journal of Clinical Monitoring and Computing","DOI":"10.1007/s10877-021-00750-9","ISSN":"1387-1307, 1573-2614","issue":"4","journalAbbreviation":"J Clin Monit Comput","language":"en","page":"1155-1164","source":"DOI.org (Crossref)","title":"Effect of pressure-controlled ventilation-volume guaranteed mode combined with individualized positive end-expiratory pressure on respiratory mechanics, oxygenation and lung injury in patients undergoing laparoscopic surgery in Trendelenburg position","volume":"36","author":[{"family":"Li","given":"Jianli"},{"family":"Ma","given":"Saixian"},{"family":"Chang","given":"Xiujie"},{"family":"Ju","given":"Songxu"},{"family":"Zhang","given":"Meng"},{"family":"Yu","given":"Dongdong"},{"family":"Rong","given":"Junfang"}],"issued":{"date-parts":[["2022",8]]}}},{"id":1577,"uris":["http://zotero.org/users/local/L5HAWlIW/items/2Q6YJM6C"],"itemData":{"id":1577,"type":"article-journal","abstract":"BACKGROUND: Individualized positive end‐expiratory pressure (PEEP) guided by dynamic compliance improves oxygenation and reduces postoperative atelectasis in nonobese patients. The authors hypothesized that dynamic compliance‐guided PEEP could also reduce postoperative atelectasis in patients undergoing bariatric surgery. METHODS: Patients scheduled to undergo laparoscopic bariatric surgery were eligible. Dynamic compliance‐guided PEEP titration was conducted in all patients using a downward approach. A recruitment maneuver (PEEP from 10 to 25 cm H2O at 5‐cm H2O step every 30 s, with 15‐cm H2O driving pressure) was conducted both before and after the titration. Patients were then randomized (1:1) to undergo surgery under dynamic compliance‐guided PEEP (PEEP with highest dynamic compliance plus 2 cm H2O) or PEEP of 8 cm H2O. The primary outcome was postoperative atelectasis, as assessed with computed tomography at 60 to 90 min after extubation, and expressed as percentage to total lung tissue volume. Secondary outcomes included Pao2/inspiratory oxygen fraction (Fio2) and postoperative pulmonary complications. RESULTS: Forty patients (mean ± SD; 28 ± 7 yr of age; 25 females; average body mass index, 41.0 ± 4.7 kg/m2) were enrolled. Median PEEP with highest dynamic compliance during titration was 15 cm H2O (interquartile range, 13 to 17; range, 8 to 19) in the entire sample of 40 patients. The primary outcome of postoperative atelectasis (available in 19 patients in each group) was 13.1 ± 5.3% and 9.5 ± 4.3% in the PEEP of 8 cm H2O and dynamic compliance‐guided PEEP groups, respectively (intergroup difference, 3.7%; 95% CI, 0.5 to 6.8%; P = 0.025). Pao2/Fio2 at 1 h after pneumoperitoneum was higher in the dynamic compliance‐guided PEEP group (397 vs. 337 mmHg; group difference, 60; 95% CI, 9 to 111; P = 0.017) but did not differ between the two groups 30 min after extubation (359 vs. 375 mmHg; group difference, ‐17; 95% CI, ‐53 to 21; P = 0.183). The incidence of postoperative pulmonary complications was 4 of 20 in both groups. CONCLUSIONS: Postoperative atelectasis was lower in patients undergoing laparoscopic bariatric surgery under dynamic compliance‐guided PEEP versus PEEP of 8 cm H2O. Postoperative Pao2/Fio2 did not differ between the two groups.","archive_location":"CN-02581757","container-title":"Anesthesiology","DOI":"10.1097/ALN.0000000000004603","issue":"3","journalAbbreviation":"Anesthesiology","page":"262‐273","title":"Individualized Positive End-expiratory Pressure on Postoperative Atelectasis in Patients with Obesity: a Randomized Controlled Clinical Trial","volume":"139","author":[{"family":"Li","given":"X"},{"family":"Liu","given":"H"},{"family":"Wang","given":"J"},{"family":"Ni","given":"ZL"},{"family":"Liu","given":"ZX"},{"family":"Jiao","given":"JL"},{"family":"Han","given":"Y"},{"family":"Cao","given":"JL"}],"issued":{"date-parts":[["2023"]]}}},{"id":1612,"uris":["http://zotero.org/users/local/L5HAWlIW/items/5LCJJ8P3"],"itemData":{"id":1612,"type":"article-journal","abstract":"Laparoscopic total hysterectomy is performed by carbon dioxide insufflation, Trendelenburg position and mechanical ventilation of patients under general anesthesia. However, this may induce pulmonary atelectasis and/or hyperdistention of the lungs. Multiple studies have indicated that mechanical ventilation with the use of low tidal volumes, moderate positive end‐expiratory pressure (PEEP) and regular alveolar recruitment maneuvers may improve post‐operative outcomes. However, the benefits of an individualized level of PEEP have not been clearly established. In the present study, it was hypothesized that a moderate fixed PEEP may not suit all patients and an individually‐titrated PEEP during anesthesia may improve the peri‐operative pulmonary oxygenation function. The aim of the present study was to compare the pulmonary oxygenation function and post‐operative pulmonary complications (PPCs) in patients receiving individualized lung‐protective mechanical ventilation (LPV) vs. conventional ventilation (CV) during laparoscopic total hysterectomy. The present study was a randomized double‐blinded clinical trial on 87 patients who were randomly divided to receive CV or protective ventilation (PV). An optimal individualized PEEP value was determined using a static pulmonary compliance‐directed PEEP titration procedure. Pulmonary oxygenation function, serum inflammatory factors, including interleukin‐8 and Clara cell protein 16, the incidence of PPCs and the post‐operative length of stay were also determined. Patients in the PV group exhibited improved pulmonary oxygenation function during and after the operation. The total percentage of PPCs during the first 7 days after surgery was significantly lower in the PV group compared with those in the CV group. In conclusion, as compared to CV, intra‐operative individualized LPV significantly improved pulmonary oxygenation function and reduced the incidence of PPCs during the first 7 days after laparoscopic total hysterectomy (Clinical trial registration no. ChiCTR1900027738).","archive_location":"CN-02099494","container-title":"Experimental and therapeutic medicine","DOI":"10.3892/etm.2020.8549","issue":"4","journalAbbreviation":"Experimental and therapeutic medicine","page":"3051‐3059","title":"Individualized lung protective ventilation vs. Conventional ventilation during general anesthesia in laparoscopic total hysterectomy","volume":"19","author":[{"family":"Liu","given":"J"},{"family":"Huang","given":"X"},{"family":"Hu","given":"S"},{"family":"Meng","given":"Z"},{"family":"He","given":"H"}],"issued":{"date-parts":[["2020"]]}}},{"id":1566,"uris":["http://zotero.org/users/local/L5HAWlIW/items/5KHQPKBX"],"itemData":{"id":1566,"type":"article-journal","container-title":"Egyptian Journal of Anaesthesia","DOI":"10.1080/11101849.2023.2230050","ISSN":"1110-1849","issue":"1","journalAbbreviation":"Egyptian Journal of Anaesthesia","language":"en","page":"496-501","source":"DOI.org (Crossref)","title":"Effect of individualized intraoperative lung recruitment maneuver on postoperative pulmonary complications in patients undergoing upper abdominal surgeries under general anesthesia","volume":"39","author":[{"family":"Mohammad Salama","given":"Mohammad Elhossieny"},{"family":"El-Taher","given":"Ezzat Mohamed"},{"family":"Abdel-Rahman Al-Touny","given":"Ahmad Hamed"},{"family":"Ismail","given":"Reda Aboelmagd"},{"family":"Abdel-Ghaffar","given":"Mohamed Emad Eldin"}],"issued":{"date-parts":[["2023",12,31]]}}},{"id":28,"uris":["http://zotero.org/users/local/L5HAWlIW/items/BBD2PA7M"],"itemData":{"id":28,"type":"article-journal","container-title":"Obesity Surgery","DOI":"10.1007/s11695-018-03662-x","ISSN":"0960-8923, 1708-0428","issue":"4","journalAbbreviation":"OBES SURG","language":"en","note":"number: 4","page":"1268-1275","source":"DOI.org (Crossref)","title":"Does Lung Compliance Optimization Through PEEP Manipulations Reduce the Incidence of Postoperative Hypoxemia in Laparoscopic Bariatric Surgery? A Randomized Trial","title-short":"Does Lung Compliance Optimization Through PEEP Manipulations Reduce the Incidence of Postoperative Hypoxemia in Laparoscopic Bariatric Surgery?","volume":"29","author":[{"family":"Van Hecke","given":"Delphine"},{"family":"Bidgoli","given":"Javad S."},{"family":"Van der Linden","given":"Philippe"}],"issued":{"date-parts":[["2019",4]]}}},{"id":1564,"uris":["http://zotero.org/users/local/L5HAWlIW/items/FCGMMFJC"],"itemData":{"id":1564,"type":"article-journal","abstract":"Introduction\n              \n                During pneumoperitoneum (PNP), airway driving pressure (ΔP\n                RS\n                ) increases due to the stiffness of the chest wall and cephalic shift of the diaphragm, which favors atelectasis. In addition, depending on the mechanical power (MP) formulas, they may lead to different interpretations.\n              \n            \n            \n              Methods\n              \n                Patients &amp;gt;18 years of age with body mass index &amp;gt;35 kg/m\n                2\n                were included in a single-center randomized controlled trial during their admission for bariatric surgery by abdominal laparoscopy. Intra-abdominal pressure was set at 15 mmHg at the pneumoperitoneum time point (PNP). After the recruitment maneuver, the lowest respiratory system elastance (E\n                RS\n                ) was detected during the positive end-expiratory pressure (PEEP) step-wise decrement. Patients were randomized to the 1) CTRL group: ventilated with PEEP of 5 cmH\n                2\n                O and 2) PEEP\n                IND\n                group: ventilated with PEEP value associated with E\n                RS\n                that is 5% higher than its lowest level. Respiratory system mechanics and mean arterial pressure (MAP) were assessed at the PNP, 5 min after randomization (T1), and at the end of the ventilation protocol (T2); arterial blood gas was assessed at PNP and T2. ΔP\n                RS\n                was the primary outcome. Three MP formulas were used: MP\n                A\n                , which computes static PEEP × volume, elastic, and resistive components; MP\n                B\n                , which computes only the elastic component; and MP\n                C\n                , which computes static PEEP × volume, elastic, and resistive components without inspiratory holds.\n              \n            \n            \n              Results\n              \n                Twenty-eight patients were assessed for eligibility: eight were not included and 20 patients were randomized and allocated to CTRL and PEEP\n                IND\n                groups (\n                n\n                = 10/group). The PEEP\n                IND\n                ventilator strategy reduced ΔP\n                RS\n                when compared with the CTRL group (PEEP\n                IND\n                , 13 ± 2 cmH\n                2\n                O; CTRL, 22 ± 4 cmH\n                2\n                O;\n                p\n                &amp;lt; 0.001). Oxygenation improved in the PEEP\n                IND\n                group when compared with the CTRL group (\n                p\n                = 0.029), whereas MAP was comparable between the PEEP\n                IND\n                and CTRL groups. At the end of surgery, MP\n                A\n                and MP\n                B\n                were correlated in both the CTRL (rho = 0.71,\n                p\n                = 0.019) and PEEP\n                IND\n                (rho = 0.84,\n                p\n                = 0.020) groups but showed different bias (CTRL, −1.9 J/min; PEEP\n                IND\n                , +10.0 J/min). At the end of the surgery, MP\n                A\n                and MP\n                C\n                were correlated in both the CTRL (rho = 0.71,\n                p\n                = 0.019) and PEEP\n                IND\n                (rho = 0.84,\n                p\n                = 0.020) groups but showed different bias (CTRL, −1.9 J/min; PEEP\n                IND\n                , +10.0 J/min).\n              \n            \n            \n              Conclusion\n              \n                Individualized PEEP was associated with a reduction in ΔP\n                RS\n                and an improvement in oxygenation with comparable MAP. The MP, which solely computes the elastic component, better reflected the improvement in ΔP\n                RS\n                observed in the individualized PEEP group.\n              \n            \n            \n              Clinical Trial Registration:\n              The protocol was registered at the Brazilian Registry of Clinical Trials (U1111-1220-7296).","container-title":"Frontiers in Physiology","DOI":"10.3389/fphys.2024.1383167","ISSN":"1664-042X","journalAbbreviation":"Front. Physiol.","page":"1383167","source":"DOI.org (Crossref)","title":"Individualized positive end-expiratory pressure reduces driving pressure in obese patients during laparoscopic surgery under pneumoperitoneum: a randomized clinical trial","title-short":"Individualized positive end-expiratory pressure reduces driving pressure in obese patients during laparoscopic surgery under pneumoperitoneum","volume":"15","author":[{"family":"Xavier","given":"Tiago Batista"},{"family":"Coelho","given":"Leonardo Vicente"},{"family":"Ferreira","given":"Daniel Antonio Lopes"},{"family":"Cota Y Raposeiras","given":"José Manuel"},{"family":"Duran","given":"Marcelo Sampaio"},{"family":"Silva","given":"Leticia Almeida"},{"family":"Motta-Ribeiro","given":"Gabriel Casulari Da"},{"family":"Camilo","given":"Luciana Moisés"},{"family":"Carvalho","given":"Alysson Roncally Silva"},{"family":"Silva","given":"Pedro Leme"}],"issued":{"date-parts":[["2024",4,5]]}}},{"id":1554,"uris":["http://zotero.org/users/local/L5HAWlIW/items/RGSHQSMS"],"itemData":{"id":1554,"type":"article-journal","abstract":"Abstract\n            \n              Background\n              This trial aimed to evaluate the effects of a protective ventilation strategy on oxygenation/pulmonary indexes in patients undergoing robot-assisted radical prostatectomy (RARP) in the steep Trendelenburg position.\n            \n            \n              Methods\n              \n                In phase 1, the most optimal positive end-expiratory pressure (PEEP) was determined in 25 patients at 11 cmH\n                2\n                O. In phase 2, 64 patients were randomized to the traditional ventilation group with tidal volume (VT) of 9 ml/kg of predicted body weight (PBW) and the protective ventilation group with VT of 7 ml/kg of PBW with optimal PEEP and recruitment maneuvers (RMs). The primary endpoint was the intraoperative and postoperative PaO\n                2\n                /FiO\n                2\n                . The secondary endpoints were the PaCO\n                2\n                , SpO\n                2\n                , modified clinical pulmonary infection score (mCPIS), and the rate of complications in the postoperative period.\n              \n            \n            \n              Results\n              \n                Compared with controls, PaO\n                2\n                /FiO\n                2\n                in the protective group increased after the second RM (\n                P\n                =0.018), and the difference remained until postoperative day 3 (\n                P\n                =0.043). PaCO\n                2\n                showed transient accumulation in the protective group after the first RM (T2), but this phenomenon disappeared with time. SpO\n                2\n                in the protective group was significantly higher during the first three postoperative days. Lung compliance was significantly improved after the second RM in the protective group (\n                P\n                =0.025). The mCPIS was lower in the protective group on postoperative day 3 (0.59 (1.09) vs. 1.46 (1.27),\n                P\n                =0.010).\n              \n            \n            \n              Conclusion\n              A protective ventilation strategy with lower VT combined with optimal PEEP and RMs could improve oxygenation and reduce mCPIS in patients undergoing RARP.\n            \n            \n              Trial registration\n              \n                ChiCTR\n                ChiCTR1800015626\n                . Registered on 12 April 2018.","container-title":"Trials","DOI":"10.1186/s13063-021-05310-9","ISSN":"1745-6215","issue":"1","journalAbbreviation":"Trials","language":"en","page":"351","source":"DOI.org (Crossref)","title":"Protective mechanical ventilation with optimal PEEP during RARP improves oxygenation and pulmonary indexes","volume":"22","author":[{"family":"Zhou","given":"Jianwei"},{"family":"Wang","given":"Chuanguang"},{"family":"Lv","given":"Ran"},{"family":"Liu","given":"Na"},{"family":"Huang","given":"Yan"},{"family":"Wang","given":"Wu"},{"family":"Yu","given":"Lina"},{"family":"Xie","given":"Junran"}],"issued":{"date-parts":[["2021",12]]}}},{"id":261,"uris":["http://zotero.org/users/local/L5HAWlIW/items/MPTVF4EJ"],"itemData":{"id":261,"type":"article-journal","abstract":"This study aimed to observe the effects of lung-protective ventilation (LPV) on oxygenation index (OI) and postoperative pulmonary complications (PPCs) after laparoscopic radical gastrectomy in middle-aged and elderly patients. A total of 120 patients who were scheduled to undergo laparoscopic radical gastrectomy with an expected time of &gt;3 h were randomly divided into conventional ventilation (CV group) with tidal volume (TV) of 10 mL/kg without positive end-expiratory pressure (PEEP), and lung-protective ventilation (PV group) with 7 mL/kg TV and personal level of PEEP with regular recruitment maneuver every 30 min. Measurements of OI, modified clinical pulmonary infection score (mCPIS), and PPCs were assessed during the perioperative period. Fifty-seven patients in the CV group and 58 in the PV group participated in the data analysis. Patients in the PV group showed better pulmonary dynamic compliance, OI, and peripheral capillary oxygen saturation during and after surgery. The mCPIS was significantly lower in the PV group than in the CV group after surgery. The incidence rate of PPCs was lower in the PV group than in the CV group and the difference was significant in patients whose ventilation time was longer than 6 h in both groups. LPV during laparoscopic radical gastrectomy significantly improved pulmonary oxygenation function and reduced postoperative mCPIS and the incidence of PPCs during the early period after surgery of middle-aged and elderly patients, especially patients whose mechanical ventilation time was longer than 6 h.","container-title":"Brazilian journal of medical and biological research = Revista brasileira de pesquisas medicas e biologicas","DOI":"10.1590/1414-431x20198523","issue":"6","note":"publisher: Associacao Brasileira de Divulgacao Cientifica","page":"e8523-NA","title":"Effect of intraoperative lung-protective mechanical ventilation on pulmonary oxygenation function and postoperative pulmonary complications after laparoscopic radical gastrectomy.","volume":"52","author":[{"family":"Liu","given":"Jing; Meng","suffix":"Zhipeng; Lv, Ran; Zhang, Yaping; Wang, Gaojian; Xie, Junran"}],"issued":{"date-parts":[["2019"]]}}}],"schema":"https://github.com/citation-style-language/schema/raw/master/csl-citation.json"} </w:instrText>
      </w:r>
      <w:r w:rsidR="00230500" w:rsidRPr="00483D15">
        <w:rPr>
          <w:lang w:val="en-US"/>
        </w:rPr>
        <w:fldChar w:fldCharType="separate"/>
      </w:r>
      <w:r w:rsidR="005F1C47" w:rsidRPr="005F1C47">
        <w:rPr>
          <w:rFonts w:cs="Times New Roman"/>
          <w:kern w:val="0"/>
        </w:rPr>
        <w:t>[6,13,15,46,50,53–55,60–62,66,68]</w:t>
      </w:r>
      <w:r w:rsidR="00230500" w:rsidRPr="00483D15">
        <w:rPr>
          <w:lang w:val="en-US"/>
        </w:rPr>
        <w:fldChar w:fldCharType="end"/>
      </w:r>
      <w:r w:rsidRPr="00483D15">
        <w:rPr>
          <w:lang w:val="en-US"/>
        </w:rPr>
        <w:t>.</w:t>
      </w:r>
    </w:p>
    <w:p w14:paraId="01CC3E13" w14:textId="77777777" w:rsidR="003E51C7" w:rsidRPr="00483D15" w:rsidRDefault="004663A5" w:rsidP="0036711F">
      <w:pPr>
        <w:pStyle w:val="Heading3"/>
        <w:rPr>
          <w:lang w:val="en-US"/>
        </w:rPr>
      </w:pPr>
      <w:bookmarkStart w:id="32" w:name="_Toc211542206"/>
      <w:r w:rsidRPr="00483D15">
        <w:rPr>
          <w:lang w:val="en-US"/>
        </w:rPr>
        <w:t>8.1.3. Primary outcome</w:t>
      </w:r>
      <w:bookmarkEnd w:id="32"/>
      <w:r w:rsidR="00E40267" w:rsidRPr="00483D15">
        <w:rPr>
          <w:lang w:val="en-US"/>
        </w:rPr>
        <w:t xml:space="preserve"> </w:t>
      </w:r>
    </w:p>
    <w:p w14:paraId="6B6C5638" w14:textId="5F9AFB62" w:rsidR="00664D3D" w:rsidRPr="00483D15" w:rsidRDefault="00817A7E" w:rsidP="0036711F">
      <w:pPr>
        <w:rPr>
          <w:lang w:val="en-US"/>
        </w:rPr>
      </w:pPr>
      <w:r w:rsidRPr="00483D15">
        <w:rPr>
          <w:lang w:val="en-US"/>
        </w:rPr>
        <w:t>The primary outcome was the incidence of postoperative pulmonary complications (PPCs). Data on atelectasis, pneumonia, ARDS, and pulmonary aspiration—either individually or in combination—were pooled from 12 studies involving 1,466 patients</w:t>
      </w:r>
      <w:r w:rsidR="001A4462">
        <w:rPr>
          <w:lang w:val="en-US"/>
        </w:rPr>
        <w:t xml:space="preserve"> </w:t>
      </w:r>
      <w:r w:rsidR="00DB4920" w:rsidRPr="00483D15">
        <w:rPr>
          <w:lang w:val="en-US"/>
        </w:rPr>
        <w:fldChar w:fldCharType="begin"/>
      </w:r>
      <w:r w:rsidR="00283E78">
        <w:rPr>
          <w:lang w:val="en-US"/>
        </w:rPr>
        <w:instrText xml:space="preserve"> ADDIN ZOTERO_ITEM CSL_CITATION {"citationID":"e8XTkgLU","properties":{"formattedCitation":"[13\\uc0\\u8211{}15,46,49,52,54,55,60,64,66,67]","plainCitation":"[13–15,46,49,52,54,55,60,64,66,67]","noteIndex":0},"citationItems":[{"id":178,"uris":["http://zotero.org/users/local/L5HAWlIW/items/BNXF362C"],"itemData":{"id":178,"type":"article-journal","abstract":"NA","container-title":"The Lancet. Respiratory medicine","DOI":"10.1016/s2213-2600(18)30024-9","issue":"3","note":"publisher: Elsevier Limited","page":"193-203","title":"Individualised perioperative open-lung approach versus standard protective ventilation in abdominal surgery (iPROVE): a randomised controlled trial.","volume":"6","author":[{"family":"Ferrando","given":"Carlos; Soro","suffix":"Marina; Unzueta, Carmen; Suarez-Sipmann, Fernando; Canet, Jaume; Librero, Julián; Pozo, Natividad; Peiró, Salvador; Llombart, Alicia; León, Irene; India, Inmaculada; Aldecoa, Cesar; Diaz-Cambronero, Oscar; Pestaña, David; Redondo, Francisco J; Garutti, Ignacio; Balust, Jaume; García, Jose Ignacio; Ibáñez, Maite; Granell, M.; Rodríguez, Aurelio; Gallego, Lucía; de la Matta, Manuel; González, Rafael; Brunelli, Andrea; García, Javier Contreras; Rovira, Lucas; Barrios, Francisco; Torres, Vicente; Hernández, Samuel; Gracia, Estefania; Giné, Marta; Garcia, Maria; Garcia, Nuria; Miguel, Lisset; Sánchez, Sergio; Piñeiro, Patricia; Pujol, Roger; García-del-Valle, Santiago; Valdivia, José; Hernández, María; Padrón, Oto; Colás, Ana; Puig, Jaume; Azparren, Gonzalo; Tusman, Gerardo; Villar, Jesús; Belda, Javier; Acosta, Jesús; Aguilar, Gerardo; Alberola, María José; Alcón, Amalia; Alonso, Jose M.; Alonso, María Dolores; Anaya, Rafael; Argente, María Pilar; Agilaga, Marta; Arocas, Blanca; Asensio, Ana; Ayas, Begoña; Ayuso, Mercedes; Balandrón, Victor; Del Barrio, Maria; Bejarano, Natalia; Benítez, Inmaculada; Cabrera, Sergio; Carbonell, José A.; Carramiñana, Albert; Carrizo, Juan; Cegarra, Virginia; Chamorro, Estefanía; Charco, Pedro; Cruz, Patricia; Daviu, Francisco; De Fez, Mario; de Miguel, Angeles; Del Río, Elena; Delgado, Carlos; Díaz, Ruben; Díaz, Susana; Díez, Fernando; Dosdá, Rosa; Duca, Alejandro; Etulain, Ma Justina; Fernández, Carmen; Franco, Tania; Fuentes, Isabel; Gallego, Clara; Gallego-Casilda, Alberto; Galve, Ana Isabel; Garcés, Cristina; García, Mercedes; Garcia, Pablo; Garrigues, Beatriz; Gilabert, Vicente; González, Domingo; Gutierrez, Andrea; Hernández, Inmaculada; Izquierdo, Ana; Jurado, Ana; Katime, Antonio; Llamazares, Eduardo; Lardies, Rosa; Lisbona, Cristina; López-Herrera, Daniel; López, Ramiro; Lozano, Angels; Lozano, Elena; Marcos, José M.; Martín, Silvia; Martínez, Nilda; Martínez, Rocío; Martínez-Pallí, Graciella; Mazzinari, Guido; Miñana, Amanda; Moral, Victoria; Moreno, Tania; Mugarra, Ana; Muñoz, Lorena; Navarro, José I.; Olmedilla, Luis; Olmedo, Jonathan; Ojeda, Nazario; Parera, Ana; Parra, María Asunción; Parrilla, Cristina; Pastor, Ernesto; Peña, Natalia; Pérez, Ana María; Pérez, Jose María; Piqueras, Laura; Rico-Feijoo, Jesús; Rodríguez, Rayco; Román, Javier Ignacio; Romero, Antonio; Romero, Carolina; Romero, Esther; Ruiz, Isabel; Sánchez, Ester; Sandín, Francisco; Serralta, Ferran; Socorro, Tania; Soriano, Laura; Tisner, Manuel; Valencia, Lucía; Valls, Paola; Vaquero, Laura; Varón, Viviana; Vila, María; Villazala, Rubén; Villena, Abigail; Zapatero, Sara"}],"issued":{"date-parts":[["2018"]]}}},{"id":163,"uris":["http://zotero.org/users/local/L5HAWlIW/items/V9KG3S7Z"],"itemData":{"id":163,"type":"article-journal","abstract":"Abstract Background General anaesthesia leads to atelectasis, reduced end-expiratory lung volume (EELV), and diminished arterial oxygenation in obese patients. We hypothesized that a combination of a recruitment manoeuvre (RM) and individualized positive end-expiratory pressure (PEEP) can avoid these effects. Methods Patients with a BMI ≥35 kg m−2 undergoing elective laparoscopic surgery were randomly allocated to mechanical ventilation with a tidal volume of 8 ml kg−1 predicted body weight and (i) an RM followed by individualized PEEP titrated using electrical impedance tomography (PEEPIND) or (ii) no RM and PEEP of 5 cm H2O (PEEP5). Gas exchange, regional ventilation distribution, and EELV (multiple breath nitrogen washout method) were determined before, during, and after anaesthesia. The primary end point was the ratio of arterial partial pressure of oxygen to inspiratory oxygen fraction (PaO2/FiO2). Results For PEEPIND (n=25) and PEEP5 (n=25) arms together, PaO2/FiO2 and EELV decreased by 15 kPa [95% confidence interval (CI) 11–20 kPa, P Conclusions In obese patients, an RM and higher PEEPIND restored EELV, regional ventilation distribution, and oxygenation during anaesthesia, but these differences did not persist after extubation. Therefore, lung protection strategies should include the postoperative period. Clinical trial registration German clinical trials register DRKS00004199, www.who.int/ictrp/network/drks2/en/.","container-title":"British journal of anaesthesia","DOI":"10.1093/bja/aex192","issue":"6","note":"publisher: Oxford University Press","page":"1194-1205","title":"Individualized positive end-expiratory pressure in obese patients during general anaesthesia: a randomized controlled clinical trial using electrical impedance tomography","volume":"119","author":[{"family":"Nestler","given":"C.; Simon","suffix":"P.; Petroff, David; Hammermüller, Sören; Kamrath, D.; Wolf, Samuel J.; Dietrich, Arne; Camilo, Luciana Moisés; Beda, Alessandro; Carvalho, Alysson R.; Giannella-Neto, Antonio; Reske, Andreas W.; Wrigge, Hermann"}],"issued":{"date-parts":[["2017"]]}}},{"id":143,"uris":["http://zotero.org/users/local/L5HAWlIW/items/DLC97TPW"],"itemData":{"id":143,"type":"article-journal","abstract":"For patients undergoing robot-assisted radical prostatectomy, the pneumoperitoneum with a steep Trendelenburg position could worsen intraoperative respiratory mechanics and result in postoperative atelectasis. We investigated the effects of individualized positive end-expiratory pressure (PEEP) on postoperative atelectasis, evaluated using lung ultrasonography. Sixty patients undergoing robot-assisted radical prostatectomy were randomly allocated into two groups. Individualized groups (n = 30) received individualized PEEP determined by a decremental PEEP trial using 20 to 7 cm H2O, aiming at maximizing respiratory compliance, whereas standardized groups (n = 30) received a standardized PEEP of 7 cm H2O during the pneumoperitoneum. Ultrasound examination was performed on 12 sections of thorax, and the lung ultrasound score was measured as 0-3 by considering the number of B lines and the degree of subpleural consolidation. The primary outcome was the difference between the lung ultrasound scores measured before anesthesia induction and just after extubation in the operating room. An increase in the difference means the development of atelectasis. The optimal PEEP in the individualized group was determined as the median (interquartile range) 14 (12-18) cm H2O. Compared with the standardized group, the difference in the lung ultrasound scores was significantly smaller in the individualized group (-0.5 ± 2.7 vs. 6.0 ± 2.9, mean difference -6.53, 95% confidence interval (-8.00 to -5.07), p &lt; 0.001), which means that individualized PEEP was effective to reduce atelectasis. The lung ultrasound score measured after surgery was significantly lower in the individualized group than the standardized group (8.1 ± 5.7 vs. 12.2 ± 4.2, mean difference -4.13, 95% confidence interval (-6.74 to -1.53), p = 0.002). However, the arterial partial pressure of the oxygen/fraction of inspired oxygen levels during the surgery showed no significant time-group interaction between the two groups in repeated-measures analysis of variance (p = 0.145). The incidence of a composite of postoperative respiratory complications was comparable between the two groups. Individualized PEEP determined by maximal respiratory compliance during the pneumoperitoneum and steep Trendelenburg position significantly reduced postoperative atelectasis, as evaluated using lung ultrasonography. However, the clinical significance of this finding should be evaluated by a larger clinical trial.","container-title":"Journal of clinical medicine","DOI":"10.3390/jcm10040850","issue":"4","note":"publisher: Multidisciplinary Digital Publishing Institute (MDPI)","page":"850-NA","title":"The Effect of Ventilation with Individualized Positive End-Expiratory Pressure on Postoperative Atelectasis in Patients Undergoing Robot-Assisted Radical Prostatectomy: A Randomized Controlled Trial.","volume":"10","author":[{"family":"Yoon","given":"Hyun Kyu; Kim","suffix":"Bo Rim; Yoon, Susie; Jeong, Young Hyun; Ku, Ja Hyeon; Kim, Won Ho"}],"issued":{"date-parts":[["2021"]]}}},{"id":149,"uris":["http://zotero.org/users/local/L5HAWlIW/items/HSM2JN5A"],"itemData":{"id":149,"type":"article-journal","abstract":"Abstract Background Higher intraoperative driving pressures (ΔP) are associated with increased postoperative pulmonary complications (PPC). We hypothesised that dynamic adjustment of PEEP throughout abdominal surgery reduces ΔP, maintains positive end-expiratory transpulmonary pressures (Ptp_ee) and increases respiratory system static compliance (Crs) with PEEP levels that are variable between and within patients. Methods In a prospective multicentre pilot study, adults at moderate/high risk for PPC undergoing elective abdominal surgery were randomised to one of three ventilation protocols: (1) PEEP≤2 cm H2O, compared with periodic recruitment manoeuvres followed by individualised PEEP to either optimise respiratory system compliance (PEEPmaxCrs) or maintain positive end-expiratory transpulmonary pressure (PEEPPtp_ee). The composite primary outcome included intraoperative ΔP, Ptp_ee, Crs, and PEEP values (median (interquartile range) and coefficients of variation [CVPEEP]). Results Thirty-seven patients (48.6% female; age range: 47–73 yr) were assigned to control (PEEP≤2 cm H2O; n=13), PEEPmaxCrs (n=16), or PEEPPtp_ee (n=8) groups. The PEEPPtp_ee intervention could not be delivered in two patients. Subjects assigned to PEEPmaxCrs had lower ΔP (median8 cm H2O [7–10]), compared with the control group (12 cm H2O [10–15]; P=0.006). PEEPmaxCrs was also associated with higher Ptp_ee (2.0 cm H2O [-0.7 to 4.5] vs controls: -8.3 cm H2O [-13.0 to -4.0]; P≤0.001) and higher Crs (47.7 ml cm H2O [43.2–68.8] vs controls: 39.0 ml cm H2O [32.9–43.4]; P=0.009). Individualised PEEP (PEEPmaxCrs and PEEPPtp_ee combined) varied widely (median: 10 cm H2O [8-15]; CVPEEP=0.24 [0.14–0.35]), both between, and within, subjects throughout surgery. Conclusions This pilot study suggests that individualised PEEP management strategies applied during abdominal surgery reduce driving pressure, maintain positive Ptp_ee and increase static compliance. The wide range of PEEP observed suggests that an individualised approach is required to optimise respiratory mechanics during abdominal surgery. Clinical trial registration NCT02671721.","container-title":"British journal of anaesthesia","DOI":"10.1016/j.bja.2020.06.030","issue":"3","note":"publisher: Oxford University Press","page":"383-392","title":"Individualized PEEP to optimise respiratory mechanics during abdominal surgery: a pilot randomised controlled trial","volume":"125","author":[{"family":"Fernandez-Bustamante","given":"Ana; Sprung","suffix":"Juraj; Parker, Robert A.; Bartels, Karsten; Weingarten, Toby N.; Kosour, Carolina; Thompson, B. Taylor; Melo, Marcos F. Vidal"}],"issued":{"date-parts":[["2020"]]}}},{"id":177,"uris":["http://zotero.org/users/local/L5HAWlIW/items/TAVD8H27"],"itemData":{"id":177,"type":"article-journal","abstract":"NA","container-title":"Surgery for obesity and related diseases : official journal of the American Society for Bariatric Surgery","DOI":"10.1016/j.soard.2020.09.023","issue":"2","note":"publisher: Elsevier Inc.","page":"372-378","title":"The use of intraoperative bedside lung ultrasound in optimizing positive end expiratory pressure in obese patients undergoing laparoscopic bariatric surgeries.","volume":"17","author":[{"family":"Elshazly","given":"M.O.; Khair","suffix":"Tamer Mohamed; Bassem, Marina; Mansour, M. A."}],"issued":{"date-parts":[["2020"]]}}},{"id":1570,"uris":["http://zotero.org/users/local/L5HAWlIW/items/V3SBX9HI"],"itemData":{"id":1570,"type":"article-journal","container-title":"British Journal of Anaesthesia","DOI":"10.1016/j.bja.2023.08.007","ISSN":"00070912","issue":"5","journalAbbreviation":"British Journal of Anaesthesia","language":"en","page":"955-965","source":"DOI.org (Crossref)","title":"Effect of driving pressure-guided positive end-expiratory pressure on postoperative pulmonary complications in patients undergoing laparoscopic or robotic surgery: a randomised controlled trial","title-short":"Effect of driving pressure-guided positive end-expiratory pressure on postoperative pulmonary complications in patients undergoing laparoscopic or robotic surgery","volume":"131","author":[{"family":"Kim","given":"Yoon Jung"},{"family":"Kim","given":"Bo Rim"},{"family":"Kim","given":"Hee Won"},{"family":"Jung","given":"Ji-Yoon"},{"family":"Cho","given":"Hye-Yeon"},{"family":"Seo","given":"Jeoung-Hwa"},{"family":"Kim","given":"Won Ho"},{"family":"Kim","given":"Hee-Soo"},{"family":"Hwangbo","given":"Suhyun"},{"family":"Yoon","given":"Hyun-Kyu"}],"issued":{"date-parts":[["2023",11]]}}},{"id":1577,"uris":["http://zotero.org/users/local/L5HAWlIW/items/2Q6YJM6C"],"itemData":{"id":1577,"type":"article-journal","abstract":"BACKGROUND: Individualized positive end‐expiratory pressure (PEEP) guided by dynamic compliance improves oxygenation and reduces postoperative atelectasis in nonobese patients. The authors hypothesized that dynamic compliance‐guided PEEP could also reduce postoperative atelectasis in patients undergoing bariatric surgery. METHODS: Patients scheduled to undergo laparoscopic bariatric surgery were eligible. Dynamic compliance‐guided PEEP titration was conducted in all patients using a downward approach. A recruitment maneuver (PEEP from 10 to 25 cm H2O at 5‐cm H2O step every 30 s, with 15‐cm H2O driving pressure) was conducted both before and after the titration. Patients were then randomized (1:1) to undergo surgery under dynamic compliance‐guided PEEP (PEEP with highest dynamic compliance plus 2 cm H2O) or PEEP of 8 cm H2O. The primary outcome was postoperative atelectasis, as assessed with computed tomography at 60 to 90 min after extubation, and expressed as percentage to total lung tissue volume. Secondary outcomes included Pao2/inspiratory oxygen fraction (Fio2) and postoperative pulmonary complications. RESULTS: Forty patients (mean ± SD; 28 ± 7 yr of age; 25 females; average body mass index, 41.0 ± 4.7 kg/m2) were enrolled. Median PEEP with highest dynamic compliance during titration was 15 cm H2O (interquartile range, 13 to 17; range, 8 to 19) in the entire sample of 40 patients. The primary outcome of postoperative atelectasis (available in 19 patients in each group) was 13.1 ± 5.3% and 9.5 ± 4.3% in the PEEP of 8 cm H2O and dynamic compliance‐guided PEEP groups, respectively (intergroup difference, 3.7%; 95% CI, 0.5 to 6.8%; P = 0.025). Pao2/Fio2 at 1 h after pneumoperitoneum was higher in the dynamic compliance‐guided PEEP group (397 vs. 337 mmHg; group difference, 60; 95% CI, 9 to 111; P = 0.017) but did not differ between the two groups 30 min after extubation (359 vs. 375 mmHg; group difference, ‐17; 95% CI, ‐53 to 21; P = 0.183). The incidence of postoperative pulmonary complications was 4 of 20 in both groups. CONCLUSIONS: Postoperative atelectasis was lower in patients undergoing laparoscopic bariatric surgery under dynamic compliance‐guided PEEP versus PEEP of 8 cm H2O. Postoperative Pao2/Fio2 did not differ between the two groups.","archive_location":"CN-02581757","container-title":"Anesthesiology","DOI":"10.1097/ALN.0000000000004603","issue":"3","journalAbbreviation":"Anesthesiology","page":"262‐273","title":"Individualized Positive End-expiratory Pressure on Postoperative Atelectasis in Patients with Obesity: a Randomized Controlled Clinical Trial","volume":"139","author":[{"family":"Li","given":"X"},{"family":"Liu","given":"H"},{"family":"Wang","given":"J"},{"family":"Ni","given":"ZL"},{"family":"Liu","given":"ZX"},{"family":"Jiao","given":"JL"},{"family":"Han","given":"Y"},{"family":"Cao","given":"JL"}],"issued":{"date-parts":[["2023"]]}}},{"id":1612,"uris":["http://zotero.org/users/local/L5HAWlIW/items/5LCJJ8P3"],"itemData":{"id":1612,"type":"article-journal","abstract":"Laparoscopic total hysterectomy is performed by carbon dioxide insufflation, Trendelenburg position and mechanical ventilation of patients under general anesthesia. However, this may induce pulmonary atelectasis and/or hyperdistention of the lungs. Multiple studies have indicated that mechanical ventilation with the use of low tidal volumes, moderate positive end‐expiratory pressure (PEEP) and regular alveolar recruitment maneuvers may improve post‐operative outcomes. However, the benefits of an individualized level of PEEP have not been clearly established. In the present study, it was hypothesized that a moderate fixed PEEP may not suit all patients and an individually‐titrated PEEP during anesthesia may improve the peri‐operative pulmonary oxygenation function. The aim of the present study was to compare the pulmonary oxygenation function and post‐operative pulmonary complications (PPCs) in patients receiving individualized lung‐protective mechanical ventilation (LPV) vs. conventional ventilation (CV) during laparoscopic total hysterectomy. The present study was a randomized double‐blinded clinical trial on 87 patients who were randomly divided to receive CV or protective ventilation (PV). An optimal individualized PEEP value was determined using a static pulmonary compliance‐directed PEEP titration procedure. Pulmonary oxygenation function, serum inflammatory factors, including interleukin‐8 and Clara cell protein 16, the incidence of PPCs and the post‐operative length of stay were also determined. Patients in the PV group exhibited improved pulmonary oxygenation function during and after the operation. The total percentage of PPCs during the first 7 days after surgery was significantly lower in the PV group compared with those in the CV group. In conclusion, as compared to CV, intra‐operative individualized LPV significantly improved pulmonary oxygenation function and reduced the incidence of PPCs during the first 7 days after laparoscopic total hysterectomy (Clinical trial registration no. ChiCTR1900027738).","archive_location":"CN-02099494","container-title":"Experimental and therapeutic medicine","DOI":"10.3892/etm.2020.8549","issue":"4","journalAbbreviation":"Experimental and therapeutic medicine","page":"3051‐3059","title":"Individualized lung protective ventilation vs. Conventional ventilation during general anesthesia in laparoscopic total hysterectomy","volume":"19","author":[{"family":"Liu","given":"J"},{"family":"Huang","given":"X"},{"family":"Hu","given":"S"},{"family":"Meng","given":"Z"},{"family":"He","given":"H"}],"issued":{"date-parts":[["2020"]]}}},{"id":1566,"uris":["http://zotero.org/users/local/L5HAWlIW/items/5KHQPKBX"],"itemData":{"id":1566,"type":"article-journal","container-title":"Egyptian Journal of Anaesthesia","DOI":"10.1080/11101849.2023.2230050","ISSN":"1110-1849","issue":"1","journalAbbreviation":"Egyptian Journal of Anaesthesia","language":"en","page":"496-501","source":"DOI.org (Crossref)","title":"Effect of individualized intraoperative lung recruitment maneuver on postoperative pulmonary complications in patients undergoing upper abdominal surgeries under general anesthesia","volume":"39","author":[{"family":"Mohammad Salama","given":"Mohammad Elhossieny"},{"family":"El-Taher","given":"Ezzat Mohamed"},{"family":"Abdel-Rahman Al-Touny","given":"Ahmad Hamed"},{"family":"Ismail","given":"Reda Aboelmagd"},{"family":"Abdel-Ghaffar","given":"Mohamed Emad Eldin"}],"issued":{"date-parts":[["2023",12,31]]}}},{"id":157,"uris":["http://zotero.org/users/local/L5HAWlIW/items/9I65CFBK"],"itemData":{"id":157,"type":"article-journal","abstract":"Background The optimal positive end-expiratory pressure (PEEP) to prevent postoperative pulmonary complications (PPCs) remains unclear. Recent evidence showed that driving pressure was closely related to PPCs. In this study, we tested the hypothesis that an individualized PEEP guided by minimum driving pressure during abdominal surgery would reduce the incidence of PPCs. Methods This single-centered, randomized controlled trial included a total of 148 patients scheduled for open upper abdominal surgery. Patients were randomly assigned to receive an individualized PEEP guided by minimum driving pressure or an empiric fixed PEEP of 6 cm H2O. The primary outcome was the incidence of clinically significant PPCs within the first 7 days after surgery, using a χ2 test. Secondary outcomes were the severity of PPCs, the area of atelectasis, and pleural effusion. Other outcomes, such as the incidence of different types of PPCs (including hypoxemia, atelectasis, pleural effusion, dyspnea, pneumonia, pneumothorax, and acute respiratory distress syndrome), intensive care unit (ICU) admission rate, length of hospital stay, and 30-day mortality were also explored. Results The median value of PEEP in the individualized group was 10 cm H2O. The incidence of clinically significant PPCs was significantly lower in the individualized PEEP group compared with that in the fixed PEEP group (26 of 67 [38.8%] vs 42 of 67 [62.7%], relative risk = 0.619, 95% confidence intervals, 0.435-0.881; P = .006). The overall severity of PPCs and the area of atelectasis were also significantly diminished in the individualized PEEP group. Higher respiratory compliance during surgery and improved intra- and postoperative oxygenation was observed in the individualized group. No significant differences were found in other outcomes between the 2 groups, such as ICU admission rate or 30-day mortality. Conclusions The application of individualized PEEP based on minimum driving pressure may effectively decrease the severity of atelectasis, improve oxygenation, and reduce the incidence of clinically significant PPCs after open upper abdominal surgery.","container-title":"Anesthesia and analgesia","DOI":"10.1213/ane.0000000000005575","issue":"5","note":"publisher: Lippincott Williams and Wilkins","page":"1197-1205","title":"Driving Pressure-Guided Individualized Positive End-Expiratory Pressure in Abdominal Surgery: A Randomized Controlled Trial.","volume":"133","author":[{"family":"Zhang","given":"Chengmi; Xu","suffix":"Fengying; Li, Weiwei; Tong, Xingyu; Xia, Ran; Wang, Wei; Du, Jianer; Shi, Xueyin"}],"issued":{"date-parts":[["2021"]]}}},{"id":1554,"uris":["http://zotero.org/users/local/L5HAWlIW/items/RGSHQSMS"],"itemData":{"id":1554,"type":"article-journal","abstract":"Abstract\n            \n              Background\n              This trial aimed to evaluate the effects of a protective ventilation strategy on oxygenation/pulmonary indexes in patients undergoing robot-assisted radical prostatectomy (RARP) in the steep Trendelenburg position.\n            \n            \n              Methods\n              \n                In phase 1, the most optimal positive end-expiratory pressure (PEEP) was determined in 25 patients at 11 cmH\n                2\n                O. In phase 2, 64 patients were randomized to the traditional ventilation group with tidal volume (VT) of 9 ml/kg of predicted body weight (PBW) and the protective ventilation group with VT of 7 ml/kg of PBW with optimal PEEP and recruitment maneuvers (RMs). The primary endpoint was the intraoperative and postoperative PaO\n                2\n                /FiO\n                2\n                . The secondary endpoints were the PaCO\n                2\n                , SpO\n                2\n                , modified clinical pulmonary infection score (mCPIS), and the rate of complications in the postoperative period.\n              \n            \n            \n              Results\n              \n                Compared with controls, PaO\n                2\n                /FiO\n                2\n                in the protective group increased after the second RM (\n                P\n                =0.018), and the difference remained until postoperative day 3 (\n                P\n                =0.043). PaCO\n                2\n                showed transient accumulation in the protective group after the first RM (T2), but this phenomenon disappeared with time. SpO\n                2\n                in the protective group was significantly higher during the first three postoperative days. Lung compliance was significantly improved after the second RM in the protective group (\n                P\n                =0.025). The mCPIS was lower in the protective group on postoperative day 3 (0.59 (1.09) vs. 1.46 (1.27),\n                P\n                =0.010).\n              \n            \n            \n              Conclusion\n              A protective ventilation strategy with lower VT combined with optimal PEEP and RMs could improve oxygenation and reduce mCPIS in patients undergoing RARP.\n            \n            \n              Trial registration\n              \n                ChiCTR\n                ChiCTR1800015626\n                . Registered on 12 April 2018.","container-title":"Trials","DOI":"10.1186/s13063-021-05310-9","ISSN":"1745-6215","issue":"1","journalAbbreviation":"Trials","language":"en","page":"351","source":"DOI.org (Crossref)","title":"Protective mechanical ventilation with optimal PEEP during RARP improves oxygenation and pulmonary indexes","volume":"22","author":[{"family":"Zhou","given":"Jianwei"},{"family":"Wang","given":"Chuanguang"},{"family":"Lv","given":"Ran"},{"family":"Liu","given":"Na"},{"family":"Huang","given":"Yan"},{"family":"Wang","given":"Wu"},{"family":"Yu","given":"Lina"},{"family":"Xie","given":"Junran"}],"issued":{"date-parts":[["2021",12]]}}},{"id":1562,"uris":["http://zotero.org/users/local/L5HAWlIW/items/ANKXGAEQ"],"itemData":{"id":1562,"type":"article-journal","abstract":"Background\n              Electrical impedance tomography (EIT) has been shown to be useful in guiding individual positive end-expiratory pressure titration for patients with mechanical ventilation. However, the appropriate positive end-expiratory pressure (PEEP) level and whether the individualized PEEP needs to be adjusted during long-term surgery (&amp;gt;6 h) were unknown. Meanwhile, the effect of individualized PEEP on the distribution of pulmonary ventilation in patients who receive abdominal thermoperfusion chemotherapy is unknown. The primary aim of this study was to observe the effect of EIT-guided PEEP on the distribution of pulmonary ventilation in patients undergoing cytoreductive surgery (CRS) combined with hot intraperitoneal chemotherapy (HIPEC). The secondary aim was to analyze their effect on postoperative pulmonary complications.\n            \n            \n              Methods\n              \n                A total of 48 patients were recruited and randomly divided into two groups, with 24 patients in each group. For the control group (group A), PEEP was set at 5 cm H\n                2\n                O, while in the EIT group (group B), individual PEEP was titrated and adjusted every 2 h with EIT guidance. Ventilation distribution, respiratory/circulation parameters, and PPC incidence were compared between the two groups.\n              \n            \n            \n              Results\n              \n                The average individualized PEEP was 10.3 ± 1.5 cm H\n                2\n                O, 10.2 ± 1.6 cm H\n                2\n                O, 10.1 ± 1.8 cm H\n                2\n                O, and 9.7 ± 2.1 cm H\n                2\n                O at 5 min, 2 h, 4 h, and 6 h after tracheal intubation during CRS + HIPEC. Individualized PEEP was correlated with ventilation distribution in the regions of interest (ROI) 1 and ROI 3 at 4 h mechanical ventilation and ROI 1 at 6 h mechanical ventilation. The ventilation distribution under individualized PEEP was back-shifted for 6 h but moved to the control group’s ventral side under PEEP 5 cm H\n                2\n                O. The respiratory and circulatory function indicators were both acceptable either under individualized PEEP or PEEP 5 cm H\n                2\n                O. The incidence of total PPCs was significantly lower under individualized PEEP (66.7%) than PEEP 5 cm H\n                2\n                O (37.5%) for patients with CRS + HIPEC.\n              \n            \n            \n              Conclusion\n              \n                The appropriate individualized PEEP was stable at approximately 10 cm H\n                2\n                O during 6 h for patients with CRS + HIPEC, along with better ventilation distribution and a lower total PPC incidence than the fixed PEEP of 5 cm H\n                2\n                O.\n              \n              \n                Clinical trial registration:\n                identifier ChiCTR1900023897.","container-title":"Frontiers in Medicine","DOI":"10.3389/fmed.2023.1198720","ISSN":"2296-858X","journalAbbreviation":"Front. Med.","page":"1198720.","source":"DOI.org (Crossref)","title":"Effect of individualized positive end-expiratory pressure based on electrical impedance tomography guidance on pulmonary ventilation distribution in patients who receive abdominal thermal perfusion chemotherapy","volume":"10","author":[{"family":"Xiao","given":"Li"},{"family":"Yu","given":"Kang"},{"family":"Yang","given":"Jiao-Jiao"},{"family":"Liu","given":"Wen-Tao"},{"family":"Liu","given":"Lei"},{"family":"Miao","given":"Hui-Hui"},{"family":"Li","given":"Tian-Zuo"}],"issued":{"date-parts":[["2023",9,5]]}}}],"schema":"https://github.com/citation-style-language/schema/raw/master/csl-citation.json"} </w:instrText>
      </w:r>
      <w:r w:rsidR="00DB4920" w:rsidRPr="00483D15">
        <w:rPr>
          <w:lang w:val="en-US"/>
        </w:rPr>
        <w:fldChar w:fldCharType="separate"/>
      </w:r>
      <w:r w:rsidR="00283E78" w:rsidRPr="00283E78">
        <w:rPr>
          <w:rFonts w:cs="Times New Roman"/>
          <w:kern w:val="0"/>
        </w:rPr>
        <w:t>[13–15,46,49,52,54,55,60,64,66,67]</w:t>
      </w:r>
      <w:r w:rsidR="00DB4920" w:rsidRPr="00483D15">
        <w:rPr>
          <w:lang w:val="en-US"/>
        </w:rPr>
        <w:fldChar w:fldCharType="end"/>
      </w:r>
      <w:r w:rsidRPr="00483D15">
        <w:rPr>
          <w:lang w:val="en-US"/>
        </w:rPr>
        <w:t xml:space="preserve">. Among these, 444 patients experienced PPCs. Our analysis </w:t>
      </w:r>
      <w:r w:rsidR="003F4A6E" w:rsidRPr="00483D15">
        <w:rPr>
          <w:lang w:val="en-US"/>
        </w:rPr>
        <w:t>indicate</w:t>
      </w:r>
      <w:r w:rsidR="003F4A6E">
        <w:rPr>
          <w:lang w:val="en-US"/>
        </w:rPr>
        <w:t>d</w:t>
      </w:r>
      <w:r w:rsidR="003F4A6E" w:rsidRPr="00483D15">
        <w:rPr>
          <w:lang w:val="en-US"/>
        </w:rPr>
        <w:t xml:space="preserve"> </w:t>
      </w:r>
      <w:r w:rsidRPr="00483D15">
        <w:rPr>
          <w:lang w:val="en-US"/>
        </w:rPr>
        <w:t>that patients receiving personalized PEEP setting</w:t>
      </w:r>
      <w:r w:rsidR="003F4A6E">
        <w:rPr>
          <w:lang w:val="en-US"/>
        </w:rPr>
        <w:t>s were</w:t>
      </w:r>
      <w:r w:rsidR="007A639F" w:rsidRPr="00483D15">
        <w:rPr>
          <w:lang w:val="en-US"/>
        </w:rPr>
        <w:t xml:space="preserve"> </w:t>
      </w:r>
      <w:r w:rsidRPr="00483D15">
        <w:rPr>
          <w:lang w:val="en-US"/>
        </w:rPr>
        <w:t xml:space="preserve">30% less likely to develop PPCs </w:t>
      </w:r>
      <w:r w:rsidR="003F4A6E">
        <w:rPr>
          <w:lang w:val="en-US"/>
        </w:rPr>
        <w:t>than</w:t>
      </w:r>
      <w:r w:rsidRPr="00483D15">
        <w:rPr>
          <w:lang w:val="en-US"/>
        </w:rPr>
        <w:t xml:space="preserve"> those receiving fixed PEEP setting</w:t>
      </w:r>
      <w:r w:rsidR="003F4A6E">
        <w:rPr>
          <w:lang w:val="en-US"/>
        </w:rPr>
        <w:t>s</w:t>
      </w:r>
      <w:r w:rsidRPr="00483D15">
        <w:rPr>
          <w:lang w:val="en-US"/>
        </w:rPr>
        <w:t xml:space="preserve"> (24.8% vs. 35.7%; RR = 0.70, CI: 0.58–0.84, I² = 7%, p = 0.002), as shown in</w:t>
      </w:r>
      <w:r w:rsidR="00CF4332">
        <w:rPr>
          <w:lang w:val="en-US"/>
        </w:rPr>
        <w:t xml:space="preserve"> </w:t>
      </w:r>
      <w:r w:rsidR="00CF4332">
        <w:rPr>
          <w:lang w:val="en-US"/>
        </w:rPr>
        <w:fldChar w:fldCharType="begin"/>
      </w:r>
      <w:r w:rsidR="00CF4332">
        <w:rPr>
          <w:lang w:val="en-US"/>
        </w:rPr>
        <w:instrText xml:space="preserve"> REF _Ref204002695 \h </w:instrText>
      </w:r>
      <w:r w:rsidR="00CF4332">
        <w:rPr>
          <w:lang w:val="en-US"/>
        </w:rPr>
      </w:r>
      <w:r w:rsidR="00CF4332">
        <w:rPr>
          <w:lang w:val="en-US"/>
        </w:rPr>
        <w:fldChar w:fldCharType="separate"/>
      </w:r>
      <w:proofErr w:type="spellStart"/>
      <w:r w:rsidR="007F7DB3">
        <w:t>Figure</w:t>
      </w:r>
      <w:proofErr w:type="spellEnd"/>
      <w:r w:rsidR="007F7DB3">
        <w:t xml:space="preserve"> </w:t>
      </w:r>
      <w:r w:rsidR="007F7DB3">
        <w:rPr>
          <w:noProof/>
        </w:rPr>
        <w:t>3</w:t>
      </w:r>
      <w:r w:rsidR="00CF4332">
        <w:rPr>
          <w:lang w:val="en-US"/>
        </w:rPr>
        <w:fldChar w:fldCharType="end"/>
      </w:r>
      <w:r w:rsidRPr="00483D15">
        <w:rPr>
          <w:lang w:val="en-US"/>
        </w:rPr>
        <w:t>.</w:t>
      </w:r>
      <w:r w:rsidR="00664D3D" w:rsidRPr="00483D15">
        <w:rPr>
          <w:lang w:val="en-US"/>
        </w:rPr>
        <w:t xml:space="preserve"> </w:t>
      </w:r>
    </w:p>
    <w:p w14:paraId="16030989" w14:textId="77777777" w:rsidR="00811C5C" w:rsidRDefault="00A41378" w:rsidP="00811C5C">
      <w:pPr>
        <w:keepNext/>
      </w:pPr>
      <w:r w:rsidRPr="00483D15">
        <w:rPr>
          <w:noProof/>
          <w:lang w:val="en-US"/>
        </w:rPr>
        <w:lastRenderedPageBreak/>
        <w:drawing>
          <wp:inline distT="0" distB="0" distL="0" distR="0" wp14:anchorId="388ADDFA" wp14:editId="4706ADE3">
            <wp:extent cx="5939474" cy="6335485"/>
            <wp:effectExtent l="19050" t="19050" r="23495" b="27305"/>
            <wp:docPr id="25203226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32263" name="Kép 252032263"/>
                    <pic:cNvPicPr/>
                  </pic:nvPicPr>
                  <pic:blipFill>
                    <a:blip r:embed="rId13">
                      <a:extLst>
                        <a:ext uri="{28A0092B-C50C-407E-A947-70E740481C1C}">
                          <a14:useLocalDpi xmlns:a14="http://schemas.microsoft.com/office/drawing/2010/main" val="0"/>
                        </a:ext>
                      </a:extLst>
                    </a:blip>
                    <a:stretch>
                      <a:fillRect/>
                    </a:stretch>
                  </pic:blipFill>
                  <pic:spPr>
                    <a:xfrm>
                      <a:off x="0" y="0"/>
                      <a:ext cx="5942506" cy="6338719"/>
                    </a:xfrm>
                    <a:prstGeom prst="rect">
                      <a:avLst/>
                    </a:prstGeom>
                    <a:ln>
                      <a:solidFill>
                        <a:schemeClr val="tx1"/>
                      </a:solidFill>
                    </a:ln>
                  </pic:spPr>
                </pic:pic>
              </a:graphicData>
            </a:graphic>
          </wp:inline>
        </w:drawing>
      </w:r>
    </w:p>
    <w:p w14:paraId="3558364D" w14:textId="59FFEFC8" w:rsidR="00255578" w:rsidRPr="00483D15" w:rsidRDefault="00811C5C" w:rsidP="00811C5C">
      <w:pPr>
        <w:pStyle w:val="Caption"/>
        <w:rPr>
          <w:lang w:val="en-US"/>
        </w:rPr>
      </w:pPr>
      <w:bookmarkStart w:id="33" w:name="_Ref204002695"/>
      <w:bookmarkStart w:id="34" w:name="_Toc204637056"/>
      <w:proofErr w:type="spellStart"/>
      <w:r>
        <w:t>Figure</w:t>
      </w:r>
      <w:proofErr w:type="spellEnd"/>
      <w:r>
        <w:t xml:space="preserve"> </w:t>
      </w:r>
      <w:fldSimple w:instr=" SEQ Figure \* ARABIC ">
        <w:r w:rsidR="007F7DB3">
          <w:rPr>
            <w:noProof/>
          </w:rPr>
          <w:t>3</w:t>
        </w:r>
      </w:fldSimple>
      <w:bookmarkEnd w:id="33"/>
      <w:r>
        <w:t xml:space="preserve"> - </w:t>
      </w:r>
      <w:r w:rsidRPr="00062F59">
        <w:t xml:space="preserve">Forest </w:t>
      </w:r>
      <w:proofErr w:type="spellStart"/>
      <w:r w:rsidRPr="00062F59">
        <w:t>plot</w:t>
      </w:r>
      <w:proofErr w:type="spellEnd"/>
      <w:r w:rsidRPr="00062F59">
        <w:t xml:space="preserve"> of </w:t>
      </w:r>
      <w:proofErr w:type="spellStart"/>
      <w:r w:rsidRPr="00062F59">
        <w:t>studies</w:t>
      </w:r>
      <w:proofErr w:type="spellEnd"/>
      <w:r w:rsidRPr="00062F59">
        <w:t xml:space="preserve"> </w:t>
      </w:r>
      <w:proofErr w:type="spellStart"/>
      <w:r w:rsidRPr="00062F59">
        <w:t>representing</w:t>
      </w:r>
      <w:proofErr w:type="spellEnd"/>
      <w:r w:rsidRPr="00062F59">
        <w:t xml:space="preserve"> </w:t>
      </w:r>
      <w:proofErr w:type="spellStart"/>
      <w:r w:rsidRPr="00062F59">
        <w:t>the</w:t>
      </w:r>
      <w:proofErr w:type="spellEnd"/>
      <w:r w:rsidRPr="00062F59">
        <w:t xml:space="preserve"> </w:t>
      </w:r>
      <w:proofErr w:type="spellStart"/>
      <w:r w:rsidRPr="00062F59">
        <w:t>incidence</w:t>
      </w:r>
      <w:proofErr w:type="spellEnd"/>
      <w:r w:rsidRPr="00062F59">
        <w:t xml:space="preserve"> of </w:t>
      </w:r>
      <w:proofErr w:type="spellStart"/>
      <w:r w:rsidRPr="00062F59">
        <w:t>postoperative</w:t>
      </w:r>
      <w:proofErr w:type="spellEnd"/>
      <w:r w:rsidRPr="00062F59">
        <w:t xml:space="preserve"> </w:t>
      </w:r>
      <w:proofErr w:type="spellStart"/>
      <w:r w:rsidRPr="00062F59">
        <w:t>pulmonary</w:t>
      </w:r>
      <w:proofErr w:type="spellEnd"/>
      <w:r w:rsidRPr="00062F59">
        <w:t xml:space="preserve"> </w:t>
      </w:r>
      <w:proofErr w:type="spellStart"/>
      <w:r w:rsidRPr="00062F59">
        <w:t>complications</w:t>
      </w:r>
      <w:proofErr w:type="spellEnd"/>
      <w:r w:rsidRPr="00062F59">
        <w:t xml:space="preserve">, </w:t>
      </w:r>
      <w:proofErr w:type="spellStart"/>
      <w:r w:rsidRPr="00062F59">
        <w:t>with</w:t>
      </w:r>
      <w:proofErr w:type="spellEnd"/>
      <w:r w:rsidRPr="00062F59">
        <w:t xml:space="preserve"> </w:t>
      </w:r>
      <w:proofErr w:type="spellStart"/>
      <w:r w:rsidRPr="00062F59">
        <w:t>subgroups</w:t>
      </w:r>
      <w:proofErr w:type="spellEnd"/>
      <w:r>
        <w:t>.</w:t>
      </w:r>
      <w:bookmarkEnd w:id="34"/>
      <w:r w:rsidR="00255578" w:rsidRPr="00483D15">
        <w:rPr>
          <w:lang w:val="en-US"/>
        </w:rPr>
        <w:t xml:space="preserve"> </w:t>
      </w:r>
    </w:p>
    <w:p w14:paraId="154EBE2E" w14:textId="74C9C75B" w:rsidR="004663A5" w:rsidRPr="00483D15" w:rsidRDefault="004663A5" w:rsidP="0036711F">
      <w:pPr>
        <w:pStyle w:val="Heading3"/>
        <w:rPr>
          <w:lang w:val="en-US"/>
        </w:rPr>
      </w:pPr>
      <w:bookmarkStart w:id="35" w:name="_Toc211542207"/>
      <w:r w:rsidRPr="00483D15">
        <w:rPr>
          <w:lang w:val="en-US"/>
        </w:rPr>
        <w:t>8.1.4. Secondary outcomes</w:t>
      </w:r>
      <w:bookmarkEnd w:id="35"/>
    </w:p>
    <w:p w14:paraId="5F84838A" w14:textId="3847EC91" w:rsidR="00555E55" w:rsidRPr="00483D15" w:rsidRDefault="00555E55" w:rsidP="0036711F">
      <w:pPr>
        <w:pStyle w:val="Heading4"/>
        <w:rPr>
          <w:lang w:val="en-US"/>
        </w:rPr>
      </w:pPr>
      <w:r w:rsidRPr="00483D15">
        <w:rPr>
          <w:lang w:val="en-US"/>
        </w:rPr>
        <w:t>8.1.4.1. PaO</w:t>
      </w:r>
      <w:r w:rsidRPr="00483D15">
        <w:rPr>
          <w:vertAlign w:val="subscript"/>
          <w:lang w:val="en-US"/>
        </w:rPr>
        <w:t>2</w:t>
      </w:r>
      <w:r w:rsidRPr="00483D15">
        <w:rPr>
          <w:lang w:val="en-US"/>
        </w:rPr>
        <w:t>/FiO</w:t>
      </w:r>
      <w:r w:rsidRPr="00483D15">
        <w:rPr>
          <w:vertAlign w:val="subscript"/>
          <w:lang w:val="en-US"/>
        </w:rPr>
        <w:t>2</w:t>
      </w:r>
      <w:r w:rsidRPr="00483D15">
        <w:rPr>
          <w:lang w:val="en-US"/>
        </w:rPr>
        <w:t> at the End of Surgery</w:t>
      </w:r>
    </w:p>
    <w:p w14:paraId="2B8D045C" w14:textId="72FD7B18" w:rsidR="003D137B" w:rsidRPr="00483D15" w:rsidRDefault="00362018" w:rsidP="0036711F">
      <w:pPr>
        <w:rPr>
          <w:lang w:val="en-US"/>
        </w:rPr>
      </w:pPr>
      <w:r w:rsidRPr="00483D15">
        <w:rPr>
          <w:lang w:val="en-US"/>
        </w:rPr>
        <w:t xml:space="preserve">Based on the results of 20 trials </w:t>
      </w:r>
      <w:r w:rsidR="006B61DB" w:rsidRPr="00483D15">
        <w:rPr>
          <w:lang w:val="en-US"/>
        </w:rPr>
        <w:t>(1</w:t>
      </w:r>
      <w:r w:rsidRPr="00483D15">
        <w:rPr>
          <w:lang w:val="en-US"/>
        </w:rPr>
        <w:t>,</w:t>
      </w:r>
      <w:r w:rsidR="006B61DB" w:rsidRPr="00483D15">
        <w:rPr>
          <w:lang w:val="en-US"/>
        </w:rPr>
        <w:t>843 patients)</w:t>
      </w:r>
      <w:r w:rsidR="00BC4CB9">
        <w:rPr>
          <w:lang w:val="en-US"/>
        </w:rPr>
        <w:t xml:space="preserve"> </w:t>
      </w:r>
      <w:r w:rsidR="003D2CA9" w:rsidRPr="00483D15">
        <w:rPr>
          <w:lang w:val="en-US"/>
        </w:rPr>
        <w:fldChar w:fldCharType="begin"/>
      </w:r>
      <w:r w:rsidR="003A4D33">
        <w:rPr>
          <w:lang w:val="en-US"/>
        </w:rPr>
        <w:instrText xml:space="preserve"> ADDIN ZOTERO_ITEM CSL_CITATION {"citationID":"PKsGgbPi","properties":{"formattedCitation":"[1,6,13\\uc0\\u8211{}15,17,48\\uc0\\u8211{}52,56,58,60\\uc0\\u8211{}62,64,66,67]","plainCitation":"[1,6,13–15,17,48–52,56,58,60–62,64,66,67]","noteIndex":0},"citationItems":[{"id":147,"uris":["http://zotero.org/users/local/L5HAWlIW/items/A8UQPRVS"],"itemData":{"id":147,"type":"article-journal","abstract":"Editor’s PerspectiveWhat We Already Know about This TopicIn patients with adult respiratory distress syndrome, physiologic tidal volume and positive end-expiratory pressure (PEEP) are protectiveIn patients without lung diseases undergoing mechanical ventilation under general anesthesia, optimal PEEP","container-title":"Anesthesiology","DOI":"10.1097/aln.0000000000002435","issue":"6","note":"publisher: Lippincott Williams and Wilkins","page":"1070-1081","title":"Individual Positive End-expiratory Pressure Settings Optimize Intraoperative Mechanical Ventilation and Reduce Postoperative Atelectasis","volume":"129","author":[{"family":"Pereira","given":"Sérgio; Tucci","suffix":"Mauro R.; Morais, Caio C. A.; Simões, Claudia Marquez; Tonelotto, Bruno Francisco Freitas; Pompeo, Michel S.; Kay, Fernando Uliana; Pelosi, Paolo; Vieira, Joaquim Edson; Amato, Marcelo B. P."}],"issued":{"date-parts":[["2018"]]}}},{"id":167,"uris":["http://zotero.org/users/local/L5HAWlIW/items/53VQRNW3"],"itemData":{"id":167,"type":"article-journal","abstract":"Applying lung protective mechanical ventilation (LPV) during general anaesthesia even in patients with non-injured lungs is recommended. However, the effects of an individual PEEP-optimisation on respiratory mechanics, oxygenation and their potential correlation with the inflammatory response and postoperative complications have not been evaluated have not been compared to standard LPV in patients undergoing major abdominal surgery. Thirty-nine patients undergoing open radical cystectomy were enrolled in this study. In the study group (SG) optimal PEEP was determined by a decremental titration procedure and defined as the PEEP value resulting the highest static pulmonary compliance. In the control group (CG) PEEP was set to 6 cmH2O. Primary endpoints were intraoperative respiratory mechanics and gas exchange parameters. Secondary outcomes were perioperative procalcitonin kinetics and postoperative pulmonary complications. Optimal PEEP levels (median = 10, range: 8–14 cmH2O), PaO2/FiO2 (451.24 ± 121.78 mmHg vs. 404.15 ± 115.87 mmHg, P = 0.005) and static pulmonary compliance (52.54 ± 13.59 ml cmH2O-1 vs. 45.22 ± 9.13 ml cmH2O-1, P &lt; 0.0001) were significantly higher, while driving pressure (8.26 ± 1.74 cmH2O vs. 9.73 ± 4.02 cmH2O, P &lt; 0.0001) was significantly lower in the SG as compared to the CG. No significant intergroup differences were found in procalcitonin kinetics (P = 0.076). Composite outcome results indicated a non-significant reduction of postoperative complications in the SG. Intraoperative PEEP-optimization resulted in significant improvement in gas exchange and pulmonary mechanics as compared to standard LPV. Whether these have any effect on short and long term outcomes require further investigations. Trial registration: Clinicaltrials.gov, identifier: NCT02931409.","container-title":"Journal of clinical monitoring and computing","DOI":"10.1007/s10877-020-00519-6","issue":"3","note":"publisher: Springer Netherlands","page":"469-482","title":"Effects of intraoperative positive end-expiratory pressure optimization on respiratory mechanics and the inflammatory response: a randomized controlled trial","volume":"35","author":[{"family":"Ruszkai","given":"Zoltán; Kiss","suffix":"Erika; László, Ildikó; Bokrétás, Gergely Péter; Vizserálek, Dóra; Vámossy, Ildikó; Surány, Erika; Buzogány, István; Bajory, Zoltán; Molnár, Zsolt"}],"issued":{"date-parts":[["2020"]]}}},{"id":178,"uris":["http://zotero.org/users/local/L5HAWlIW/items/BNXF362C"],"itemData":{"id":178,"type":"article-journal","abstract":"NA","container-title":"The Lancet. Respiratory medicine","DOI":"10.1016/s2213-2600(18)30024-9","issue":"3","note":"publisher: Elsevier Limited","page":"193-203","title":"Individualised perioperative open-lung approach versus standard protective ventilation in abdominal surgery (iPROVE): a randomised controlled trial.","volume":"6","author":[{"family":"Ferrando","given":"Carlos; Soro","suffix":"Marina; Unzueta, Carmen; Suarez-Sipmann, Fernando; Canet, Jaume; Librero, Julián; Pozo, Natividad; Peiró, Salvador; Llombart, Alicia; León, Irene; India, Inmaculada; Aldecoa, Cesar; Diaz-Cambronero, Oscar; Pestaña, David; Redondo, Francisco J; Garutti, Ignacio; Balust, Jaume; García, Jose Ignacio; Ibáñez, Maite; Granell, M.; Rodríguez, Aurelio; Gallego, Lucía; de la Matta, Manuel; González, Rafael; Brunelli, Andrea; García, Javier Contreras; Rovira, Lucas; Barrios, Francisco; Torres, Vicente; Hernández, Samuel; Gracia, Estefania; Giné, Marta; Garcia, Maria; Garcia, Nuria; Miguel, Lisset; Sánchez, Sergio; Piñeiro, Patricia; Pujol, Roger; García-del-Valle, Santiago; Valdivia, José; Hernández, María; Padrón, Oto; Colás, Ana; Puig, Jaume; Azparren, Gonzalo; Tusman, Gerardo; Villar, Jesús; Belda, Javier; Acosta, Jesús; Aguilar, Gerardo; Alberola, María José; Alcón, Amalia; Alonso, Jose M.; Alonso, María Dolores; Anaya, Rafael; Argente, María Pilar; Agilaga, Marta; Arocas, Blanca; Asensio, Ana; Ayas, Begoña; Ayuso, Mercedes; Balandrón, Victor; Del Barrio, Maria; Bejarano, Natalia; Benítez, Inmaculada; Cabrera, Sergio; Carbonell, José A.; Carramiñana, Albert; Carrizo, Juan; Cegarra, Virginia; Chamorro, Estefanía; Charco, Pedro; Cruz, Patricia; Daviu, Francisco; De Fez, Mario; de Miguel, Angeles; Del Río, Elena; Delgado, Carlos; Díaz, Ruben; Díaz, Susana; Díez, Fernando; Dosdá, Rosa; Duca, Alejandro; Etulain, Ma Justina; Fernández, Carmen; Franco, Tania; Fuentes, Isabel; Gallego, Clara; Gallego-Casilda, Alberto; Galve, Ana Isabel; Garcés, Cristina; García, Mercedes; Garcia, Pablo; Garrigues, Beatriz; Gilabert, Vicente; González, Domingo; Gutierrez, Andrea; Hernández, Inmaculada; Izquierdo, Ana; Jurado, Ana; Katime, Antonio; Llamazares, Eduardo; Lardies, Rosa; Lisbona, Cristina; López-Herrera, Daniel; López, Ramiro; Lozano, Angels; Lozano, Elena; Marcos, José M.; Martín, Silvia; Martínez, Nilda; Martínez, Rocío; Martínez-Pallí, Graciella; Mazzinari, Guido; Miñana, Amanda; Moral, Victoria; Moreno, Tania; Mugarra, Ana; Muñoz, Lorena; Navarro, José I.; Olmedilla, Luis; Olmedo, Jonathan; Ojeda, Nazario; Parera, Ana; Parra, María Asunción; Parrilla, Cristina; Pastor, Ernesto; Peña, Natalia; Pérez, Ana María; Pérez, Jose María; Piqueras, Laura; Rico-Feijoo, Jesús; Rodríguez, Rayco; Román, Javier Ignacio; Romero, Antonio; Romero, Carolina; Romero, Esther; Ruiz, Isabel; Sánchez, Ester; Sandín, Francisco; Serralta, Ferran; Socorro, Tania; Soriano, Laura; Tisner, Manuel; Valencia, Lucía; Valls, Paola; Vaquero, Laura; Varón, Viviana; Vila, María; Villazala, Rubén; Villena, Abigail; Zapatero, Sara"}],"issued":{"date-parts":[["2018"]]}}},{"id":163,"uris":["http://zotero.org/users/local/L5HAWlIW/items/V9KG3S7Z"],"itemData":{"id":163,"type":"article-journal","abstract":"Abstract Background General anaesthesia leads to atelectasis, reduced end-expiratory lung volume (EELV), and diminished arterial oxygenation in obese patients. We hypothesized that a combination of a recruitment manoeuvre (RM) and individualized positive end-expiratory pressure (PEEP) can avoid these effects. Methods Patients with a BMI ≥35 kg m−2 undergoing elective laparoscopic surgery were randomly allocated to mechanical ventilation with a tidal volume of 8 ml kg−1 predicted body weight and (i) an RM followed by individualized PEEP titrated using electrical impedance tomography (PEEPIND) or (ii) no RM and PEEP of 5 cm H2O (PEEP5). Gas exchange, regional ventilation distribution, and EELV (multiple breath nitrogen washout method) were determined before, during, and after anaesthesia. The primary end point was the ratio of arterial partial pressure of oxygen to inspiratory oxygen fraction (PaO2/FiO2). Results For PEEPIND (n=25) and PEEP5 (n=25) arms together, PaO2/FiO2 and EELV decreased by 15 kPa [95% confidence interval (CI) 11–20 kPa, P Conclusions In obese patients, an RM and higher PEEPIND restored EELV, regional ventilation distribution, and oxygenation during anaesthesia, but these differences did not persist after extubation. Therefore, lung protection strategies should include the postoperative period. Clinical trial registration German clinical trials register DRKS00004199, www.who.int/ictrp/network/drks2/en/.","container-title":"British journal of anaesthesia","DOI":"10.1093/bja/aex192","issue":"6","note":"publisher: Oxford University Press","page":"1194-1205","title":"Individualized positive end-expiratory pressure in obese patients during general anaesthesia: a randomized controlled clinical trial using electrical impedance tomography","volume":"119","author":[{"family":"Nestler","given":"C.; Simon","suffix":"P.; Petroff, David; Hammermüller, Sören; Kamrath, D.; Wolf, Samuel J.; Dietrich, Arne; Camilo, Luciana Moisés; Beda, Alessandro; Carvalho, Alysson R.; Giannella-Neto, Antonio; Reske, Andreas W.; Wrigge, Hermann"}],"issued":{"date-parts":[["2017"]]}}},{"id":143,"uris":["http://zotero.org/users/local/L5HAWlIW/items/DLC97TPW"],"itemData":{"id":143,"type":"article-journal","abstract":"For patients undergoing robot-assisted radical prostatectomy, the pneumoperitoneum with a steep Trendelenburg position could worsen intraoperative respiratory mechanics and result in postoperative atelectasis. We investigated the effects of individualized positive end-expiratory pressure (PEEP) on postoperative atelectasis, evaluated using lung ultrasonography. Sixty patients undergoing robot-assisted radical prostatectomy were randomly allocated into two groups. Individualized groups (n = 30) received individualized PEEP determined by a decremental PEEP trial using 20 to 7 cm H2O, aiming at maximizing respiratory compliance, whereas standardized groups (n = 30) received a standardized PEEP of 7 cm H2O during the pneumoperitoneum. Ultrasound examination was performed on 12 sections of thorax, and the lung ultrasound score was measured as 0-3 by considering the number of B lines and the degree of subpleural consolidation. The primary outcome was the difference between the lung ultrasound scores measured before anesthesia induction and just after extubation in the operating room. An increase in the difference means the development of atelectasis. The optimal PEEP in the individualized group was determined as the median (interquartile range) 14 (12-18) cm H2O. Compared with the standardized group, the difference in the lung ultrasound scores was significantly smaller in the individualized group (-0.5 ± 2.7 vs. 6.0 ± 2.9, mean difference -6.53, 95% confidence interval (-8.00 to -5.07), p &lt; 0.001), which means that individualized PEEP was effective to reduce atelectasis. The lung ultrasound score measured after surgery was significantly lower in the individualized group than the standardized group (8.1 ± 5.7 vs. 12.2 ± 4.2, mean difference -4.13, 95% confidence interval (-6.74 to -1.53), p = 0.002). However, the arterial partial pressure of the oxygen/fraction of inspired oxygen levels during the surgery showed no significant time-group interaction between the two groups in repeated-measures analysis of variance (p = 0.145). The incidence of a composite of postoperative respiratory complications was comparable between the two groups. Individualized PEEP determined by maximal respiratory compliance during the pneumoperitoneum and steep Trendelenburg position significantly reduced postoperative atelectasis, as evaluated using lung ultrasonography. However, the clinical significance of this finding should be evaluated by a larger clinical trial.","container-title":"Journal of clinical medicine","DOI":"10.3390/jcm10040850","issue":"4","note":"publisher: Multidisciplinary Digital Publishing Institute (MDPI)","page":"850-NA","title":"The Effect of Ventilation with Individualized Positive End-Expiratory Pressure on Postoperative Atelectasis in Patients Undergoing Robot-Assisted Radical Prostatectomy: A Randomized Controlled Trial.","volume":"10","author":[{"family":"Yoon","given":"Hyun Kyu; Kim","suffix":"Bo Rim; Yoon, Susie; Jeong, Young Hyun; Ku, Ja Hyeon; Kim, Won Ho"}],"issued":{"date-parts":[["2021"]]}}},{"id":198,"uris":["http://zotero.org/users/local/L5HAWlIW/items/YALB6N24"],"itemData":{"id":198,"type":"article-journal","abstract":"Bariatric surgery has proven a successful approach in the treatment of morbid obesity and its concomitant diseases such as diabetes mellitus and arterial hypertension. Aiming for optimal management of this challenging patient cohort, tailored concepts directly guided by individual patient physiology may outperform standardized care. Implying esophageal pressure measurement and electrical impedance tomography—increasingly applied monitoring approaches to individually adjust mechanical ventilation in challenging circumstances like acute respiratory distress syndrome (ARDS) and intraabdominal hypertension—we compared our institutions standard ventilator regimen with an individually adjusted positive end expiratory pressure (PEEP) level aiming for a positive transpulmonary pressure (P L) throughout the respiratory cycle. After obtaining written informed consent, 37 patients scheduled for elective bariatric surgery were studied during mechanical ventilation in reverse Trendelenburg position. Before and after installation of capnoperitoneum, PEEP levels were gradually raised from a standard value of 10 cm H2O until a P L of 0 +/− 1 cm H2O was reached. Changes in ventilation were monitored by electrical impedance tomography (EIT) and arterial blood gases (ABGs) were obtained at the end of surgery and 5 and 60 min after extubation, respectively. To achieve the goal of a transpulmonary pressure (P L) of 0 cm H2O at end expiration, PEEP levels of 16.7 cm H2O (95% KI 15.6–18.1) before and 23.8 cm H2O (95% KI 19.6–40.4) during capnoperitoneum were necessary. EIT measurements confirmed an optimal PEEP level between 10 and 15 cm H2O before and 20 and 25 cm H2O during capnoperitoneum, respectively. Intra- and postoperative oxygenation did not change significantly. Patients during laparoscopic bariatric surgery require high levels of PEEP to maintain a positive transpulmonary pressure throughout the respiratory cycle. EIT monitoring allows for non-invasive monitoring of increasing PEEP demand during capnoperitoneum. Individually adjusted PEEP levels did not result in improved postoperative oxygenation.","container-title":"Obesity surgery","DOI":"10.1007/s11695-017-2794-3","issue":"1","note":"publisher: Springer New York","page":"122-129","title":"Intraoperative Ventilation of Morbidly Obese Patients Guided by Transpulmonary Pressure.","volume":"28","author":[{"family":"Eichler","given":"Lars; Truskowska","suffix":"Katarzyna; Duprée, Anna; Busch, Philipp; Goetz, Alwin E.; Zöllner, Christian"}],"issued":{"date-parts":[["2017"]]}}},{"id":177,"uris":["http://zotero.org/users/local/L5HAWlIW/items/TAVD8H27"],"itemData":{"id":177,"type":"article-journal","abstract":"NA","container-title":"Surgery for obesity and related diseases : official journal of the American Society for Bariatric Surgery","DOI":"10.1016/j.soard.2020.09.023","issue":"2","note":"publisher: Elsevier Inc.","page":"372-378","title":"The use of intraoperative bedside lung ultrasound in optimizing positive end expiratory pressure in obese patients undergoing laparoscopic bariatric surgeries.","volume":"17","author":[{"family":"Elshazly","given":"M.O.; Khair","suffix":"Tamer Mohamed; Bassem, Marina; Mansour, M. A."}],"issued":{"date-parts":[["2020"]]}}},{"id":133,"uris":["http://zotero.org/users/local/L5HAWlIW/items/UXWZNMU2"],"itemData":{"id":133,"type":"article-journal","abstract":"Background: Low tidal volume (VT) during anesthesia minimizes lung injury but may be associated to a decrease in functional lung volume impairing lung mechanics and efficiency. Lung recruitment (RM ...","container-title":"PloS one","DOI":"10.1371/journal.pone.0177399","issue":"5","note":"publisher: Public Library of Science","page":"e0177399-NA","title":"Open lung approach versus standard protective strategies : Effects on driving pressure and ventilatory efficiency during anesthesia - A pilot, randomized controlled trial","volume":"12","author":[{"family":"Ferrando","given":"Carlos; Suarez-Sipmann","suffix":"Fernando; Tusman, Gerardo; León, Irene; Romero, Esther; Gracia, Estefania; Mugarra, Ana; Arocas, Blanca; Pozo, Natividad; Soro, Marina; Belda, Francisco Javier"}],"issued":{"date-parts":[["2017"]]}}},{"id":1686,"uris":["http://zotero.org/users/local/L5HAWlIW/items/EFTPW42L"],"itemData":{"id":1686,"type":"article-journal","abstract":"BACKGROUND: Optimal intraoperative positive end‐expiratory pressure (PEEP) improves patient outcomes. Pulse oximetry has been used to determine the lung opening and closing pressures. Therefore, we hypothesized that intraoperative optimal PEEP obtained by titrating inspiratory oxygen fraction (FiO2) guided with pulse oximetry could improve perioperative oxygenation. METHODS: Forty‐six males undergoing elective robotic‐assisted laparoscopic prostatectomy were randomly assigned to either the optimal PEEP group (group O; n=23) or the fixed PEEP of 5 cmH2O group (group C; n=23). Optimal PEEP, defined as the PEEP with the lowest FiO2 or 0.21 to maintain SpO2 greater than or equal to 95%, was obtained in both groups after placing the patients in the Trendelenburg position and conducting intraperitoneal insufflation. Optimal PEEP was maintained for patients in group O. A PEEP of 5 cmH2O intraoperatively was maintained for patients in group C. Both groups were extubated in a semisitting position once the extubation criteria were met. The primary outcome was the arterial oxygen partial pressure (PaO2) divided by the inspiratory oxygen fraction (FiO2) prior to extubation. The secondary outcome was the incidence of postoperative hypoxemia (SpO2 less than 92% on room air after extubation) in the postanesthesia care unit (PACU). RESULTS: The median optimal PEEP was 16 cmH2O (IQR 12‐18). The PaO2/FiO2 prior to extubation was significantly higher in group O than in group C (77.0±4.9 kPa vs. 60.6±5.9 kPa; P=0.04). PaO2/FiO2 was also significantly higher in group O 30 minutes after extubation (57.6±1.9 vs. 46.6±1.8 kPa; P=0.01). The incidence of hypoxemia on room air in the PACU was significantly lower in group O than in group C (4.3% vs. 30.4%; P=0.02). CONCLUSIONS: Intraoperative optimal PEEP can be achieved by a titration of FiO2 guided with SpO2. Maintaining intraoperative optimal PEEP improves intraoperative oxygenation and reduces the incidence of postoperative hypoxemia. TRIAL REGISTRATION: The study was prospectively registered on September 10, 2021, in the Chinese Clinical Trial Registry (identifier: ChiCTR2100051010).","archive_location":"CN-02537259","container-title":"Annals of translational medicine","DOI":"10.21037/atm-22-4357","issue":"5","journalAbbreviation":"Annals of translational medicine","page":"203","title":"Optimal positive end-expiratory pressure obtained with titration of a fraction of inspiratory oxygen: a randomized controlled clinical trial","volume":"11","author":[{"family":"Gao","given":"L"},{"family":"Yang","given":"L"},{"family":"Pan","given":"L"},{"family":"Cui","given":"Y"},{"family":"Zhang","given":"J"}],"issued":{"date-parts":[["2023"]]}}},{"id":148,"uris":["http://zotero.org/users/local/L5HAWlIW/items/B5V6G46C"],"itemData":{"id":148,"type":"article-journal","abstract":"Abstract Background Robot-assisted laparoscopic radical prostatectomy requires general anaesthesia, extreme Trendelenburg positioning and capnoperitoneum. Together these promote impaired pulmonary gas exchange caused by atelectasis and may contribute to postoperative pulmonary complications. In morbidly obese patients, a recruitment manoeuvre (RM) followed by individualised PEEP improves intraoperative oxygenation and end-expiratory lung volume (EELV). We hypothesised that individualised PEEP with initial RM similarly improves intraoperative oxygenation and EELV in non-obese individuals undergoing robot-assisted prostatectomy. Methods Forty males (age, 49–76 yr; BMI Results In 20 males randomised to RM/PEEPIND, the median PEEPIND was 14 cm H2O [inter-quartile range, 8–20]. The Pao2/Fio2 was 10.0 kPa higher with RM/PEEPIND before extubation (95% confidence interval [CI], 2.6–17.3 kPa; P=0.001). RM/PEEPIND increased end-expiratory lung volume by 1.49 L (95% CI, 1.09–1.89 L; P Conclusion In non-obese males, an individualised ventilation strategy improved intraoperative oxygenation, which was associated with higher end-expiratory lung volumes during robot-assisted laparoscopic prostatectomy. Clinical trial registration DRKS00004199 (German clinical trials registry)","container-title":"British journal of anaesthesia","DOI":"10.1016/j.bja.2020.05.041","issue":"3","note":"publisher: Oxford University Press","page":"373-382","title":"Individualised positive end-expiratory pressure guided by electrical impedance tomography for robot-assisted laparoscopic radical prostatectomy: a prospective, randomised controlled clinical trial","volume":"125","author":[{"family":"Girrbach","given":"Felix; Petroff","suffix":"David; Schulz, Susann; Hempel, Gunther; Lange, Mirko; Klotz, Carolin; Scherz, Stephanie; Giannella-Neto, Antonio; Beda, Alessandro; Jardim-Neto, Alcendino; Stolzenburg, Jens-Uwe; Reske, Andreas W.; Wrigge, Hermann; Simon, Philipp"}],"issued":{"date-parts":[["2020"]]}}},{"id":1570,"uris":["http://zotero.org/users/local/L5HAWlIW/items/V3SBX9HI"],"itemData":{"id":1570,"type":"article-journal","container-title":"British Journal of Anaesthesia","DOI":"10.1016/j.bja.2023.08.007","ISSN":"00070912","issue":"5","journalAbbreviation":"British Journal of Anaesthesia","language":"en","page":"955-965","source":"DOI.org (Crossref)","title":"Effect of driving pressure-guided positive end-expiratory pressure on postoperative pulmonary complications in patients undergoing laparoscopic or robotic surgery: a randomised controlled trial","title-short":"Effect of driving pressure-guided positive end-expiratory pressure on postoperative pulmonary complications in patients undergoing laparoscopic or robotic surgery","volume":"131","author":[{"family":"Kim","given":"Yoon Jung"},{"family":"Kim","given":"Bo Rim"},{"family":"Kim","given":"Hee Won"},{"family":"Jung","given":"Ji-Yoon"},{"family":"Cho","given":"Hye-Yeon"},{"family":"Seo","given":"Jeoung-Hwa"},{"family":"Kim","given":"Won Ho"},{"family":"Kim","given":"Hee-Soo"},{"family":"Hwangbo","given":"Suhyun"},{"family":"Yoon","given":"Hyun-Kyu"}],"issued":{"date-parts":[["2023",11]]}}},{"id":1568,"uris":["http://zotero.org/users/local/L5HAWlIW/items/5DJWX5NC"],"itemData":{"id":1568,"type":"article-journal","abstract":"Abstract\n            \n              Objective\n              To evaluate the effect of the individualized positive end-expiratory pressure (PEEP) lung protection ventilation strategy by combining driving pressure (ΔP) and pulmonary ultrasound (LUS)-based titration on lung function and postoperative cognitive function in patients with chronic obstructive pulmonary disease (COPD) during laparoscopic surgery.\n            \n            \n              Methods\n              \n                A total of 108 patients with COPD undergoing laparoscopic gastrointestinal surgery under general anesthesia were included in this study. They were randomly divided into three groups (n = 36): traditional volume ventilation group (Group C), fixed PEEP 5 cmH\n                2\n                O group (Group P), and ΔP combined with LUS-based PEEP titration in the resuscitation room group (Group T). All three groups were given volume ventilation mode, I:E = 1:2; In group C, VT was 10 mL/kg and PEEP was 0 cmH\n                2\n                O; In groups P and T, VT was 6 mL/kg and PEEP was 5 cmH\n                2\n                O; After mechanical ventilation for 15 min in Group T, ΔP in combination with LUS was used to titrate PEEP. The oxygenation index (PaO2/FiO2), airway platform pressure (Pplat), dynamic lung compliance (Cdyn), Montreal Cognitive Assessment (MoCA), and venous interleukin-6(IL-6) were recorded at the corresponding time points, and the final PEEP value in Group T was recorded.\n              \n            \n            \n              Results\n              \n                The final PEEP value of Group T was (6.4 ± 1.2) cmH\n                2\n                O; Compared with groups C and P: PaO\n                2\n                /FiO\n                2\n                and Cdyn in Group T were significantly increased (\n                P\n                 &lt; 0.05) and value of IL-6 was significantly decreased (\n                P\n                 &lt; 0.05) at the corresponding time points. Compared with group C, the MoCA score on day 7 after surgery in Group T was significantly higher (\n                P\n                 &lt; 0.05).\n              \n            \n            \n              Conclusion\n              Compared with the traditional ventilation strategy, the individualized ΔP combined with LUS-based PEEP titration in patients with COPD during the perioperative period of laparoscopic surgery can play a better role in lung protection and can improve postoperative cognitive function.","container-title":"BMC Pulmonary Medicine","DOI":"10.1186/s12890-023-02471-y","ISSN":"1471-2466","issue":"1","journalAbbreviation":"BMC Pulm Med","language":"en","page":"232","source":"DOI.org (Crossref)","title":"Effect of individualized PEEP titration by ultrasonography on perioperative pulmonary protection and postoperative cognitive function in patients with chronic obstructive pulmonary disease","volume":"23","author":[{"family":"Luo","given":"Lai-feng"},{"family":"Lin","given":"Yu-mei"},{"family":"Liu","given":"Ying"},{"family":"Gao","given":"Xiao-hua"},{"family":"Li","given":"Chui-yu"},{"family":"Zhang","given":"Xiao-qi"},{"family":"Wu","given":"Jian-hua"},{"family":"Chen","given":"Zhi-yuan"}],"issued":{"date-parts":[["2023",6,28]]}}},{"id":1667,"uris":["http://zotero.org/users/local/L5HAWlIW/items/C4CXU7ZP"],"itemData":{"id":1667,"type":"article-journal","abstract":"Objective To investigate the effect of individualized positive end expiratory pressure (PEEP) setting guided by chest electrical impedance tomography (EIT) on the incidence of hypoxemia in elderly patients undergoing robot‑assisted radical prostatectomy in the post anesthesia care unit (PACU). Methods From September 2020 to October 2021, sixty elderly patients, with the American Association of Anesthesiologists (ASA) of Grade Ⅰ to Ⅲ, who underwent selective robot‑assisted radical prostatectomy under general anesthesia in the Cancer Hospital Affiliated to Fudan University were selected. The participants were divided into two groups by the minimum randomized grouping method: EIT‑PEEP group (EP group, n=30) and fixed PEEP group (FP group, n=30). After completion of tracheal intubation and establishment of pneumoperitoneum flexion posture, the individualized PEEP setting was guided by EIT in EP group, and the PEEP setting in FP group was 5 cmH2O (1 cmH2O=0.098 kPa) to the end of operation. During the operation, the ventilation mode of pressure regulation volume control was adopted. The driving pressure, dynamic lung compliance (Cdyn), oxygenation index and hemodynamics were recorded at 5 min (T1), 30 min (T2), 60 min (T3) after PEEP setting and at the time of tracheal catheter removal (T4) in both groups. The primary end point was the incidence of hypoxemia in PACU after extubation. Results The incidence of hypoxemia after extubation was 3.3% (1/30) in EP group and 26.7% (8/ 30) in FP group (P=0.030). The difference of driving pressure between the two groups at T2 [(13.1± 2.4) cmH2O vs (14.9±2.9) cmH2O, P=0.012], T3 [(12.7±2.4) cmH2O vs (15.6±2.8) cmH2O, P&lt;0.001] was statistically significant. In EP group, Cdyn was improved at T2 [(38.4±7.2) ml/cmH2O vs (31.9±5.2) ml/cmH2O, P=0.006] and T3 [(37.5</w:instrText>
      </w:r>
      <w:r w:rsidR="003A4D33">
        <w:rPr>
          <w:rFonts w:cs="Times New Roman"/>
          <w:lang w:val="en-US"/>
        </w:rPr>
        <w:instrText>��</w:instrText>
      </w:r>
      <w:r w:rsidR="003A4D33">
        <w:rPr>
          <w:lang w:val="en-US"/>
        </w:rPr>
        <w:instrText xml:space="preserve">9.0) ml/cmH2O vs (30.4±5.9) ml/cmH2O, P=0.001]. In EP group, PaO2/FiO2 increased at T1 [(465.7±84.5) mmHg vs (383.5±58.0) mmHg, 1 mmHg=0.133 kPa, P&lt; 0.001], T2 [(504.7±105.8) mmHg vs (418.9±73.7) mmHg, P=0.001], T3 [(520.7±92.2) mmHg vs (423.2±90.7) mmHg, P&lt;0.001], T4 [(368.7±42.0) mmHg vs (339.5±54.9) mmHg, P=0.024]. Conclusion The individualized PEEP setting guided by EIT can reduce the incidence of hypoxemia in elderly patients undergoing robot assisted radical prostatectomy in PACU.","archive_location":"CN-02613242","container-title":"Zhonghua yi xue za zhi","DOI":"10.3760/cma.j.cn112137-20220415-00818","issue":"47","journalAbbreviation":"Zhonghua yi xue za zhi","page":"3727‐3733","title":"Effect of EIT-guided individualized PEEP setting on the incidence of hypoxemia in elderly patients undergoing robot-assisted radical prostatectomy","volume":"102","author":[{"family":"Pan","given":"LL"},{"family":"Gao","given":"LL"},{"family":"Yang","given":"L"},{"family":"Pan","given":"CX"},{"family":"Yin","given":"YH"},{"family":"Zhu","given":"Y"},{"family":"Zhang","given":"J"}],"issued":{"date-parts":[["2022"]]}}},{"id":1566,"uris":["http://zotero.org/users/local/L5HAWlIW/items/5KHQPKBX"],"itemData":{"id":1566,"type":"article-journal","container-title":"Egyptian Journal of Anaesthesia","DOI":"10.1080/11101849.2023.2230050","ISSN":"1110-1849","issue":"1","journalAbbreviation":"Egyptian Journal of Anaesthesia","language":"en","page":"496-501","source":"DOI.org (Crossref)","title":"Effect of individualized intraoperative lung recruitment maneuver on postoperative pulmonary complications in patients undergoing upper abdominal surgeries under general anesthesia","volume":"39","author":[{"family":"Mohammad Salama","given":"Mohammad Elhossieny"},{"family":"El-Taher","given":"Ezzat Mohamed"},{"family":"Abdel-Rahman Al-Touny","given":"Ahmad Hamed"},{"family":"Ismail","given":"Reda Aboelmagd"},{"family":"Abdel-Ghaffar","given":"Mohamed Emad Eldin"}],"issued":{"date-parts":[["2023",12,31]]}}},{"id":28,"uris":["http://zotero.org/users/local/L5HAWlIW/items/BBD2PA7M"],"itemData":{"id":28,"type":"article-journal","container-title":"Obesity Surgery","DOI":"10.1007/s11695-018-03662-x","ISSN":"0960-8923, 1708-0428","issue":"4","journalAbbreviation":"OBES SURG","language":"en","note":"number: 4","page":"1268-1275","source":"DOI.org (Crossref)","title":"Does Lung Compliance Optimization Through PEEP Manipulations Reduce the Incidence of Postoperative Hypoxemia in Laparoscopic Bariatric Surgery? A Randomized Trial","title-short":"Does Lung Compliance Optimization Through PEEP Manipulations Reduce the Incidence of Postoperative Hypoxemia in Laparoscopic Bariatric Surgery?","volume":"29","author":[{"family":"Van Hecke","given":"Delphine"},{"family":"Bidgoli","given":"Javad S."},{"family":"Van der Linden","given":"Philippe"}],"issued":{"date-parts":[["2019",4]]}}},{"id":1564,"uris":["http://zotero.org/users/local/L5HAWlIW/items/FCGMMFJC"],"itemData":{"id":1564,"type":"article-journal","abstract":"Introduction\n              \n                During pneumoperitoneum (PNP), airway driving pressure (ΔP\n                RS\n                ) increases due to the stiffness of the chest wall and cephalic shift of the diaphragm, which favors atelectasis. In addition, depending on the mechanical power (MP) formulas, they may lead to different interpretations.\n              \n            \n            \n              Methods\n              \n                Patients &amp;gt;18 years of age with body mass index &amp;gt;35 kg/m\n                2\n                were included in a single-center randomized controlled trial during their admission for bariatric surgery by abdominal laparoscopy. Intra-abdominal pressure was set at 15 mmHg at the pneumoperitoneum time point (PNP). After the recruitment maneuver, the lowest respiratory system elastance (E\n                RS\n                ) was detected during the positive end-expiratory pressure (PEEP) step-wise decrement. Patients were randomized to the 1) CTRL group: ventilated with PEEP of 5 cmH\n                2\n                O and 2) PEEP\n                IND\n                group: ventilated with PEEP value associated with E\n                RS\n                that is 5% higher than its lowest level. Respiratory system mechanics and mean arterial pressure (MAP) were assessed at the PNP, 5 min after randomization (T1), and at the end of the ventilation protocol (T2); arterial blood gas was assessed at PNP and T2. ΔP\n                RS\n                was the primary outcome. Three MP formulas were used: MP\n                A\n                , which computes static PEEP × volume, elastic, and resistive components; MP\n                B\n                , which computes only the elastic component; and MP\n                C\n                , which computes static PEEP × volume, elastic, and resistive components without inspiratory holds.\n              \n            \n            \n              Results\n              \n                Twenty-eight patients were assessed for eligibility: eight were not included and 20 patients were randomized and allocated to CTRL and PEEP\n                IND\n                groups (\n                n\n                = 10/group). The PEEP\n                IND\n                ventilator strategy reduced ΔP\n                RS\n                when compared with the CTRL group (PEEP\n                IND\n                , 13 ± 2 cmH\n                2\n                O; CTRL, 22 ± 4 cmH\n                2\n                O;\n                p\n                &amp;lt; 0.001). Oxygenation improved in the PEEP\n                IND\n                group when compared with the CTRL group (\n                p\n                = 0.029), whereas MAP was comparable between the PEEP\n                IND\n                and CTRL groups. At the end of surgery, MP\n                A\n                and MP\n                B\n                were correlated in both the CTRL (rho = 0.71,\n                p\n                = 0.019) and PEEP\n                IND\n                (rho = 0.84,\n                p\n                = 0.020) groups but showed different bias (CTRL, −1.9 J/min; PEEP\n                IND\n                , +10.0 J/min). At the end of the surgery, MP\n                A\n                and MP\n                C\n                were correlated in both the CTRL (rho = 0.71,\n                p\n                = 0.019) and PEEP\n                IND\n                (rho = 0.84,\n                p\n                = 0.020) groups but showed different bias (CTRL, −1.9 J/min; PEEP\n                IND\n                , +10.0 J/min).\n              \n            \n            \n              Conclusion\n              \n                Individualized PEEP was associated with a reduction in ΔP\n                RS\n                and an improvement in oxygenation with comparable MAP. The MP, which solely computes the elastic component, better reflected the improvement in ΔP\n                RS\n                observed in the individualized PEEP group.\n              \n            \n            \n              Clinical Trial Registration:\n              The protocol was registered at the Brazilian Registry of Clinical Trials (U1111-1220-7296).","container-title":"Frontiers in Physiology","DOI":"10.3389/fphys.2024.1383167","ISSN":"1664-042X","journalAbbreviation":"Front. Physiol.","page":"1383167","source":"DOI.org (Crossref)","title":"Individualized positive end-expiratory pressure reduces driving pressure in obese patients during laparoscopic surgery under pneumoperitoneum: a randomized clinical trial","title-short":"Individualized positive end-expiratory pressure reduces driving pressure in obese patients during laparoscopic surgery under pneumoperitoneum","volume":"15","author":[{"family":"Xavier","given":"Tiago Batista"},{"family":"Coelho","given":"Leonardo Vicente"},{"family":"Ferreira","given":"Daniel Antonio Lopes"},{"family":"Cota Y Raposeiras","given":"José Manuel"},{"family":"Duran","given":"Marcelo Sampaio"},{"family":"Silva","given":"Leticia Almeida"},{"family":"Motta-Ribeiro","given":"Gabriel Casulari Da"},{"family":"Camilo","given":"Luciana Moisés"},{"family":"Carvalho","given":"Alysson Roncally Silva"},{"family":"Silva","given":"Pedro Leme"}],"issued":{"date-parts":[["2024",4,5]]}}},{"id":157,"uris":["http://zotero.org/users/local/L5HAWlIW/items/9I65CFBK"],"itemData":{"id":157,"type":"article-journal","abstract":"Background The optimal positive end-expiratory pressure (PEEP) to prevent postoperative pulmonary complications (PPCs) remains unclear. Recent evidence showed that driving pressure was closely related to PPCs. In this study, we tested the hypothesis that an individualized PEEP guided by minimum driving pressure during abdominal surgery would reduce the incidence of PPCs. Methods This single-centered, randomized controlled trial included a total of 148 patients scheduled for open upper abdominal surgery. Patients were randomly assigned to receive an individualized PEEP guided by minimum driving pressure or an empiric fixed PEEP of 6 cm H2O. The primary outcome was the incidence of clinically significant PPCs within the first 7 days after surgery, using a χ2 test. Secondary outcomes were the severity of PPCs, the area of atelectasis, and pleural effusion. Other outcomes, such as the incidence of different types of PPCs (including hypoxemia, atelectasis, pleural effusion, dyspnea, pneumonia, pneumothorax, and acute respiratory distress syndrome), intensive care unit (ICU) admission rate, length of hospital stay, and 30-day mortality were also explored. Results The median value of PEEP in the individualized group was 10 cm H2O. The incidence of clinically significant PPCs was significantly lower in the individualized PEEP group compared with that in the fixed PEEP group (26 of 67 [38.8%] vs 42 of 67 [62.7%], relative risk = 0.619, 95% confidence intervals, 0.435-0.881; P = .006). The overall severity of PPCs and the area of atelectasis were also significantly diminished in the individualized PEEP group. Higher respiratory compliance during surgery and improved intra- and postoperative oxygenation was observed in the individualized group. No significant differences were found in other outcomes between the 2 groups, such as ICU admission rate or 30-day mortality. Conclusions The application of individualized PEEP based on minimum driving pressure may effectively decrease the severity of atelectasis, improve oxygenation, and reduce the incidence of clinically significant PPCs after open upper abdominal surgery.","container-title":"Anesthesia and analgesia","DOI":"10.1213/ane.0000000000005575","issue":"5","note":"publisher: Lippincott Williams and Wilkins","page":"1197-1205","title":"Driving Pressure-Guided Individualized Positive End-Expiratory Pressure in Abdominal Surgery: A Randomized Controlled Trial.","volume":"133","author":[{"family":"Zhang","given":"Chengmi; Xu","suffix":"Fengying; Li, Weiwei; Tong, Xingyu; Xia, Ran; Wang, Wei; Du, Jianer; Shi, Xueyin"}],"issued":{"date-parts":[["2021"]]}}},{"id":1554,"uris":["http://zotero.org/users/local/L5HAWlIW/items/RGSHQSMS"],"itemData":{"id":1554,"type":"article-journal","abstract":"Abstract\n            \n              Background\n              This trial aimed to evaluate the effects of a protective ventilation strategy on oxygenation/pulmonary indexes in patients undergoing robot-assisted radical prostatectomy (RARP) in the steep Trendelenburg position.\n            \n            \n              Methods\n              \n                In phase 1, the most optimal positive end-expiratory pressure (PEEP) was determined in 25 patients at 11 cmH\n                2\n                O. In phase 2, 64 patients were randomized to the traditional ventilation group with tidal volume (VT) of 9 ml/kg of predicted body weight (PBW) and the protective ventilation group with VT of 7 ml/kg of PBW with optimal PEEP and recruitment maneuvers (RMs). The primary endpoint was the intraoperative and postoperative PaO\n                2\n                /FiO\n                2\n                . The secondary endpoints were the PaCO\n                2\n                , SpO\n                2\n                , modified clinical pulmonary infection score (mCPIS), and the rate of complications in the postoperative period.\n              \n            \n            \n              Results\n              \n                Compared with controls, PaO\n                2\n                /FiO\n                2\n                in the protective group increased after the second RM (\n                P\n                =0.018), and the difference remained until postoperative day 3 (\n                P\n                =0.043). PaCO\n                2\n                showed transient accumulation in the protective group after the first RM (T2), but this phenomenon disappeared with time. SpO\n                2\n                in the protective group was significantly higher during the first three postoperative days. Lung compliance was significantly improved after the second RM in the protective group (\n                P\n                =0.025). The mCPIS was lower in the protective group on postoperative day 3 (0.59 (1.09) vs. 1.46 (1.27),\n                P\n                =0.010).\n              \n            \n            \n              Conclusion\n              A protective ventilation strategy with lower VT combined with optimal PEEP and RMs could improve oxygenation and reduce mCPIS in patients undergoing RARP.\n            \n            \n              Trial registration\n              \n                ChiCTR\n                ChiCTR1800015626\n                . Registered on 12 April 2018.","container-title":"Trials","DOI":"10.1186/s13063-021-05310-9","ISSN":"1745-6215","issue":"1","journalAbbreviation":"Trials","language":"en","page":"351","source":"DOI.org (Crossref)","title":"Protective mechanical ventilation with optimal PEEP during RARP improves oxygenation and pulmonary indexes","volume":"22","author":[{"family":"Zhou","given":"Jianwei"},{"family":"Wang","given":"Chuanguang"},{"family":"Lv","given":"Ran"},{"family":"Liu","given":"Na"},{"family":"Huang","given":"Yan"},{"family":"Wang","given":"Wu"},{"family":"Yu","given":"Lina"},{"family":"Xie","given":"Junran"}],"issued":{"date-parts":[["2021",12]]}}},{"id":1562,"uris":["http://zotero.org/users/local/L5HAWlIW/items/ANKXGAEQ"],"itemData":{"id":1562,"type":"article-journal","abstract":"Background\n              Electrical impedance tomography (EIT) has been shown to be useful in guiding individual positive end-expiratory pressure titration for patients with mechanical ventilation. However, the appropriate positive end-expiratory pressure (PEEP) level and whether the individualized PEEP needs to be adjusted during long-term surgery (&amp;gt;6 h) were unknown. Meanwhile, the effect of individualized PEEP on the distribution of pulmonary ventilation in patients who receive abdominal thermoperfusion chemotherapy is unknown. The primary aim of this study was to observe the effect of EIT-guided PEEP on the distribution of pulmonary ventilation in patients undergoing cytoreductive surgery (CRS) combined with hot intraperitoneal chemotherapy (HIPEC). The secondary aim was to analyze their effect on postoperative pulmonary complications.\n            \n            \n              Methods\n              \n                A total of 48 patients were recruited and randomly divided into two groups, with 24 patients in each group. For the control group (group A), PEEP was set at 5 cm H\n                2\n                O, while in the EIT group (group B), individual PEEP was titrated and adjusted every 2 h with EIT guidance. Ventilation distribution, respiratory/circulation parameters, and PPC incidence were compared between the two groups.\n              \n            \n            \n              Results\n              \n                The average individualized PEEP was 10.3 ± 1.5 cm H\n                2\n                O, 10.2 ± 1.6 cm H\n                2\n                O, 10.1 ± 1.8 cm H\n                2\n                O, and 9.7 ± 2.1 cm H\n                2\n                O at 5 min, 2 h, 4 h, and 6 h after tracheal intubation during CRS + HIPEC. Individualized PEEP was correlated with ventilation distribution in the regions of interest (ROI) 1 and ROI 3 at 4 h mechanical ventilation and ROI 1 at 6 h mechanical ventilation. The ventilation distribution under individualized PEEP was back-shifted for 6 h but moved to the control group’s ventral side under PEEP 5 cm H\n                2\n                O. The respiratory and circulatory function indicators were both acceptable either under individualized PEEP or PEEP 5 cm H\n                2\n                O. The incidence of total PPCs was significantly lower under individualized PEEP (66.7%) than PEEP 5 cm H\n                2\n                O (37.5%) for patients with CRS + HIPEC.\n              \n            \n            \n              Conclusion\n              \n                The appropriate individualized PEEP was stable at approximately 10 cm H\n                2\n                O during 6 h for patients with CRS + HIPEC, along with better ventilation distribution and a lower total PPC incidence than the fixed PEEP of 5 cm H\n                2\n                O.\n              \n              \n                Clinical trial registration:\n                identifier ChiCTR1900023897.","container-title":"Frontiers in Medicine","DOI":"10.3389/fmed.2023.1198720","ISSN":"2296-858X","journalAbbreviation":"Front. Med.","page":"1198720.","source":"DOI.org (Crossref)","title":"Effect of individualized positive end-expiratory pressure based on electrical impedance tomography guidance on pulmonary ventilation distribution in patients who receive abdominal thermal perfusion chemotherapy","volume":"10","author":[{"family":"Xiao","given":"Li"},{"family":"Yu","given":"Kang"},{"family":"Yang","given":"Jiao-Jiao"},{"family":"Liu","given":"Wen-Tao"},{"family":"Liu","given":"Lei"},{"family":"Miao","given":"Hui-Hui"},{"family":"Li","given":"Tian-Zuo"}],"issued":{"date-parts":[["2023",9,5]]}}}],"schema":"https://github.com/citation-style-language/schema/raw/master/csl-citation.json"} </w:instrText>
      </w:r>
      <w:r w:rsidR="003D2CA9" w:rsidRPr="00483D15">
        <w:rPr>
          <w:lang w:val="en-US"/>
        </w:rPr>
        <w:fldChar w:fldCharType="separate"/>
      </w:r>
      <w:r w:rsidR="003A4D33" w:rsidRPr="003A4D33">
        <w:rPr>
          <w:rFonts w:cs="Times New Roman"/>
          <w:kern w:val="0"/>
        </w:rPr>
        <w:t>[1,6,13–15,17,48–52,56,58,60–62,64,66,67]</w:t>
      </w:r>
      <w:r w:rsidR="003D2CA9" w:rsidRPr="00483D15">
        <w:rPr>
          <w:lang w:val="en-US"/>
        </w:rPr>
        <w:fldChar w:fldCharType="end"/>
      </w:r>
      <w:r w:rsidRPr="00483D15">
        <w:rPr>
          <w:lang w:val="en-US"/>
        </w:rPr>
        <w:t xml:space="preserve">, </w:t>
      </w:r>
      <w:r w:rsidR="006B61DB" w:rsidRPr="00483D15">
        <w:rPr>
          <w:lang w:val="en-US"/>
        </w:rPr>
        <w:t>patients</w:t>
      </w:r>
      <w:r w:rsidRPr="00483D15">
        <w:rPr>
          <w:lang w:val="en-US"/>
        </w:rPr>
        <w:t xml:space="preserve"> receiving </w:t>
      </w:r>
      <w:r w:rsidR="00587E91">
        <w:rPr>
          <w:lang w:val="en-US"/>
        </w:rPr>
        <w:t xml:space="preserve">optimal </w:t>
      </w:r>
      <w:r w:rsidRPr="00483D15">
        <w:rPr>
          <w:lang w:val="en-US"/>
        </w:rPr>
        <w:t>PEEP had a</w:t>
      </w:r>
      <w:r w:rsidR="003C7AC4" w:rsidRPr="00483D15">
        <w:rPr>
          <w:lang w:val="en-US"/>
        </w:rPr>
        <w:t xml:space="preserve"> nearly 56 mmHg higher </w:t>
      </w:r>
      <w:r w:rsidR="006B61DB" w:rsidRPr="00483D15">
        <w:rPr>
          <w:lang w:val="en-US"/>
        </w:rPr>
        <w:t>PaO</w:t>
      </w:r>
      <w:r w:rsidR="006B61DB" w:rsidRPr="006B3599">
        <w:rPr>
          <w:vertAlign w:val="subscript"/>
          <w:lang w:val="en-US"/>
        </w:rPr>
        <w:t>2</w:t>
      </w:r>
      <w:r w:rsidR="006B61DB" w:rsidRPr="00483D15">
        <w:rPr>
          <w:lang w:val="en-US"/>
        </w:rPr>
        <w:t>/FiO</w:t>
      </w:r>
      <w:r w:rsidR="006B61DB" w:rsidRPr="006B3599">
        <w:rPr>
          <w:vertAlign w:val="subscript"/>
          <w:lang w:val="en-US"/>
        </w:rPr>
        <w:t>2</w:t>
      </w:r>
      <w:r w:rsidR="006B61DB" w:rsidRPr="00483D15">
        <w:rPr>
          <w:lang w:val="en-US"/>
        </w:rPr>
        <w:t xml:space="preserve"> </w:t>
      </w:r>
      <w:r w:rsidR="00F8289F" w:rsidRPr="00483D15">
        <w:rPr>
          <w:lang w:val="en-US"/>
        </w:rPr>
        <w:lastRenderedPageBreak/>
        <w:t>ratio at th</w:t>
      </w:r>
      <w:r w:rsidR="003C7AC4" w:rsidRPr="00483D15">
        <w:rPr>
          <w:lang w:val="en-US"/>
        </w:rPr>
        <w:t>e end of the sur</w:t>
      </w:r>
      <w:r w:rsidR="006B61DB" w:rsidRPr="00483D15">
        <w:rPr>
          <w:lang w:val="en-US"/>
        </w:rPr>
        <w:t xml:space="preserve">gery, </w:t>
      </w:r>
      <w:r w:rsidR="003C7AC4" w:rsidRPr="00483D15">
        <w:rPr>
          <w:lang w:val="en-US"/>
        </w:rPr>
        <w:t xml:space="preserve">then those receiving </w:t>
      </w:r>
      <w:r w:rsidR="003F4A6E">
        <w:rPr>
          <w:lang w:val="en-US"/>
        </w:rPr>
        <w:t xml:space="preserve">a </w:t>
      </w:r>
      <w:r w:rsidR="00AF6782" w:rsidRPr="00483D15">
        <w:rPr>
          <w:lang w:val="en-US"/>
        </w:rPr>
        <w:t xml:space="preserve">fixed </w:t>
      </w:r>
      <w:r w:rsidR="003F4A6E">
        <w:rPr>
          <w:lang w:val="en-US"/>
        </w:rPr>
        <w:t xml:space="preserve">level of </w:t>
      </w:r>
      <w:r w:rsidR="00AF6782" w:rsidRPr="00483D15">
        <w:rPr>
          <w:lang w:val="en-US"/>
        </w:rPr>
        <w:t xml:space="preserve">PEEP </w:t>
      </w:r>
      <w:r w:rsidR="006B61DB" w:rsidRPr="00483D15">
        <w:rPr>
          <w:lang w:val="en-US"/>
        </w:rPr>
        <w:t xml:space="preserve">(MD = 55.99 mmHg, 95% CI: 31.78–80.21, I2 = 91%, p </w:t>
      </w:r>
      <w:proofErr w:type="gramStart"/>
      <w:r w:rsidR="006B61DB" w:rsidRPr="00483D15">
        <w:rPr>
          <w:lang w:val="en-US"/>
        </w:rPr>
        <w:t>&lt; 0.001</w:t>
      </w:r>
      <w:proofErr w:type="gramEnd"/>
      <w:r w:rsidR="006B61DB" w:rsidRPr="00483D15">
        <w:rPr>
          <w:lang w:val="en-US"/>
        </w:rPr>
        <w:t>) presented in</w:t>
      </w:r>
      <w:r w:rsidR="00411FDE">
        <w:rPr>
          <w:lang w:val="en-US"/>
        </w:rPr>
        <w:t xml:space="preserve"> </w:t>
      </w:r>
      <w:r w:rsidR="00411FDE">
        <w:rPr>
          <w:lang w:val="en-US"/>
        </w:rPr>
        <w:fldChar w:fldCharType="begin"/>
      </w:r>
      <w:r w:rsidR="00411FDE">
        <w:rPr>
          <w:lang w:val="en-US"/>
        </w:rPr>
        <w:instrText xml:space="preserve"> REF _Ref204002754 \h </w:instrText>
      </w:r>
      <w:r w:rsidR="00411FDE">
        <w:rPr>
          <w:lang w:val="en-US"/>
        </w:rPr>
      </w:r>
      <w:r w:rsidR="00411FDE">
        <w:rPr>
          <w:lang w:val="en-US"/>
        </w:rPr>
        <w:fldChar w:fldCharType="separate"/>
      </w:r>
      <w:proofErr w:type="spellStart"/>
      <w:r w:rsidR="007F7DB3">
        <w:t>Figure</w:t>
      </w:r>
      <w:proofErr w:type="spellEnd"/>
      <w:r w:rsidR="007F7DB3">
        <w:t xml:space="preserve"> </w:t>
      </w:r>
      <w:r w:rsidR="007F7DB3">
        <w:rPr>
          <w:noProof/>
        </w:rPr>
        <w:t>4</w:t>
      </w:r>
      <w:r w:rsidR="00411FDE">
        <w:rPr>
          <w:lang w:val="en-US"/>
        </w:rPr>
        <w:fldChar w:fldCharType="end"/>
      </w:r>
      <w:r w:rsidR="006B61DB" w:rsidRPr="00483D15">
        <w:rPr>
          <w:lang w:val="en-US"/>
        </w:rPr>
        <w:t>.</w:t>
      </w:r>
    </w:p>
    <w:p w14:paraId="6CEC9997" w14:textId="77777777" w:rsidR="00411FDE" w:rsidRDefault="009302F0" w:rsidP="00411FDE">
      <w:pPr>
        <w:keepNext/>
      </w:pPr>
      <w:r w:rsidRPr="00483D15">
        <w:rPr>
          <w:noProof/>
          <w:lang w:val="en-US"/>
        </w:rPr>
        <w:drawing>
          <wp:inline distT="0" distB="0" distL="0" distR="0" wp14:anchorId="20BA8FA6" wp14:editId="380C5A59">
            <wp:extent cx="5400040" cy="7200265"/>
            <wp:effectExtent l="19050" t="19050" r="10160" b="19685"/>
            <wp:docPr id="367146713"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46713" name="Kép 367146713"/>
                    <pic:cNvPicPr/>
                  </pic:nvPicPr>
                  <pic:blipFill>
                    <a:blip r:embed="rId14">
                      <a:extLst>
                        <a:ext uri="{28A0092B-C50C-407E-A947-70E740481C1C}">
                          <a14:useLocalDpi xmlns:a14="http://schemas.microsoft.com/office/drawing/2010/main" val="0"/>
                        </a:ext>
                      </a:extLst>
                    </a:blip>
                    <a:stretch>
                      <a:fillRect/>
                    </a:stretch>
                  </pic:blipFill>
                  <pic:spPr>
                    <a:xfrm>
                      <a:off x="0" y="0"/>
                      <a:ext cx="5400040" cy="7200265"/>
                    </a:xfrm>
                    <a:prstGeom prst="rect">
                      <a:avLst/>
                    </a:prstGeom>
                    <a:ln>
                      <a:solidFill>
                        <a:schemeClr val="tx1"/>
                      </a:solidFill>
                    </a:ln>
                  </pic:spPr>
                </pic:pic>
              </a:graphicData>
            </a:graphic>
          </wp:inline>
        </w:drawing>
      </w:r>
    </w:p>
    <w:p w14:paraId="0B9D1F16" w14:textId="6AF43CE9" w:rsidR="00690D57" w:rsidRPr="00483D15" w:rsidRDefault="00411FDE" w:rsidP="00411FDE">
      <w:pPr>
        <w:pStyle w:val="Caption"/>
        <w:rPr>
          <w:lang w:val="en-US"/>
        </w:rPr>
      </w:pPr>
      <w:bookmarkStart w:id="36" w:name="_Ref204002754"/>
      <w:bookmarkStart w:id="37" w:name="_Toc204637057"/>
      <w:proofErr w:type="spellStart"/>
      <w:r>
        <w:t>Figure</w:t>
      </w:r>
      <w:proofErr w:type="spellEnd"/>
      <w:r>
        <w:t xml:space="preserve"> </w:t>
      </w:r>
      <w:fldSimple w:instr=" SEQ Figure \* ARABIC ">
        <w:r w:rsidR="007F7DB3">
          <w:rPr>
            <w:noProof/>
          </w:rPr>
          <w:t>4</w:t>
        </w:r>
      </w:fldSimple>
      <w:bookmarkEnd w:id="36"/>
      <w:r>
        <w:t xml:space="preserve"> - </w:t>
      </w:r>
      <w:r w:rsidRPr="00C320C8">
        <w:t xml:space="preserve">Forest </w:t>
      </w:r>
      <w:proofErr w:type="spellStart"/>
      <w:r w:rsidRPr="00C320C8">
        <w:t>plot</w:t>
      </w:r>
      <w:proofErr w:type="spellEnd"/>
      <w:r w:rsidRPr="00C320C8">
        <w:t xml:space="preserve"> of </w:t>
      </w:r>
      <w:proofErr w:type="spellStart"/>
      <w:r w:rsidRPr="00C320C8">
        <w:t>the</w:t>
      </w:r>
      <w:proofErr w:type="spellEnd"/>
      <w:r w:rsidRPr="00C320C8">
        <w:t xml:space="preserve"> </w:t>
      </w:r>
      <w:proofErr w:type="spellStart"/>
      <w:r w:rsidRPr="00C320C8">
        <w:t>mean</w:t>
      </w:r>
      <w:proofErr w:type="spellEnd"/>
      <w:r w:rsidRPr="00C320C8">
        <w:t xml:space="preserve"> </w:t>
      </w:r>
      <w:proofErr w:type="spellStart"/>
      <w:r w:rsidRPr="00C320C8">
        <w:t>difference</w:t>
      </w:r>
      <w:proofErr w:type="spellEnd"/>
      <w:r w:rsidRPr="00C320C8">
        <w:t xml:space="preserve"> in PaO</w:t>
      </w:r>
      <w:r w:rsidRPr="000C301F">
        <w:rPr>
          <w:vertAlign w:val="subscript"/>
        </w:rPr>
        <w:t>2</w:t>
      </w:r>
      <w:r w:rsidRPr="00C320C8">
        <w:t>/FiO</w:t>
      </w:r>
      <w:r w:rsidRPr="000C301F">
        <w:rPr>
          <w:vertAlign w:val="subscript"/>
        </w:rPr>
        <w:t>2</w:t>
      </w:r>
      <w:r w:rsidRPr="00C320C8">
        <w:t xml:space="preserve"> ratio </w:t>
      </w:r>
      <w:proofErr w:type="spellStart"/>
      <w:r w:rsidRPr="00C320C8">
        <w:t>at</w:t>
      </w:r>
      <w:proofErr w:type="spellEnd"/>
      <w:r w:rsidRPr="00C320C8">
        <w:t xml:space="preserve"> </w:t>
      </w:r>
      <w:proofErr w:type="spellStart"/>
      <w:r w:rsidRPr="00C320C8">
        <w:t>the</w:t>
      </w:r>
      <w:proofErr w:type="spellEnd"/>
      <w:r w:rsidRPr="00C320C8">
        <w:t xml:space="preserve"> end of </w:t>
      </w:r>
      <w:proofErr w:type="spellStart"/>
      <w:r w:rsidRPr="00C320C8">
        <w:t>surgery</w:t>
      </w:r>
      <w:proofErr w:type="spellEnd"/>
      <w:r w:rsidRPr="00C320C8">
        <w:t xml:space="preserve">, </w:t>
      </w:r>
      <w:proofErr w:type="spellStart"/>
      <w:r w:rsidRPr="00C320C8">
        <w:t>with</w:t>
      </w:r>
      <w:proofErr w:type="spellEnd"/>
      <w:r w:rsidRPr="00C320C8">
        <w:t xml:space="preserve"> </w:t>
      </w:r>
      <w:proofErr w:type="spellStart"/>
      <w:r w:rsidRPr="00C320C8">
        <w:t>subgroups</w:t>
      </w:r>
      <w:proofErr w:type="spellEnd"/>
      <w:r>
        <w:t>.</w:t>
      </w:r>
      <w:bookmarkEnd w:id="37"/>
      <w:r w:rsidR="002B3ECC" w:rsidRPr="00483D15">
        <w:rPr>
          <w:lang w:val="en-US"/>
        </w:rPr>
        <w:t xml:space="preserve"> </w:t>
      </w:r>
    </w:p>
    <w:p w14:paraId="1D1A381A" w14:textId="6F36F64E" w:rsidR="005F4571" w:rsidRPr="00483D15" w:rsidRDefault="005F4571" w:rsidP="0036711F">
      <w:pPr>
        <w:pStyle w:val="Heading4"/>
        <w:rPr>
          <w:lang w:val="en-US"/>
        </w:rPr>
      </w:pPr>
      <w:r w:rsidRPr="00483D15">
        <w:rPr>
          <w:lang w:val="en-US"/>
        </w:rPr>
        <w:lastRenderedPageBreak/>
        <w:t>8.1.4.2. Titrated PEEP Values in the SGs</w:t>
      </w:r>
    </w:p>
    <w:p w14:paraId="0FCB4BC7" w14:textId="77777777" w:rsidR="00F008E2" w:rsidRDefault="009408FC" w:rsidP="00F008E2">
      <w:pPr>
        <w:rPr>
          <w:lang w:val="en-US"/>
        </w:rPr>
      </w:pPr>
      <w:r w:rsidRPr="00483D15">
        <w:rPr>
          <w:lang w:val="en-US"/>
        </w:rPr>
        <w:t>We analyzed and compared the PEEP levels in each group. Based on data from 20 studies (1,471 patients)</w:t>
      </w:r>
      <w:r w:rsidR="00BC4CB9">
        <w:rPr>
          <w:lang w:val="en-US"/>
        </w:rPr>
        <w:t xml:space="preserve"> </w:t>
      </w:r>
      <w:r w:rsidR="00E361EE" w:rsidRPr="00483D15">
        <w:rPr>
          <w:lang w:val="en-US"/>
        </w:rPr>
        <w:fldChar w:fldCharType="begin"/>
      </w:r>
      <w:r w:rsidR="00312619">
        <w:rPr>
          <w:lang w:val="en-US"/>
        </w:rPr>
        <w:instrText xml:space="preserve"> ADDIN ZOTERO_ITEM CSL_CITATION {"citationID":"m7mGO3wv","properties":{"formattedCitation":"[1,6,13\\uc0\\u8211{}15,17,45\\uc0\\u8211{}48,50,54,56,58,60\\uc0\\u8211{}64,67]","plainCitation":"[1,6,13–15,17,45–48,50,54,56,58,60–64,67]","noteIndex":0},"citationItems":[{"id":147,"uris":["http://zotero.org/users/local/L5HAWlIW/items/A8UQPRVS"],"itemData":{"id":147,"type":"article-journal","abstract":"Editor’s PerspectiveWhat We Already Know about This TopicIn patients with adult respiratory distress syndrome, physiologic tidal volume and positive end-expiratory pressure (PEEP) are protectiveIn patients without lung diseases undergoing mechanical ventilation under general anesthesia, optimal PEEP","container-title":"Anesthesiology","DOI":"10.1097/aln.0000000000002435","issue":"6","note":"publisher: Lippincott Williams and Wilkins","page":"1070-1081","title":"Individual Positive End-expiratory Pressure Settings Optimize Intraoperative Mechanical Ventilation and Reduce Postoperative Atelectasis","volume":"129","author":[{"family":"Pereira","given":"Sérgio; Tucci","suffix":"Mauro R.; Morais, Caio C. A.; Simões, Claudia Marquez; Tonelotto, Bruno Francisco Freitas; Pompeo, Michel S.; Kay, Fernando Uliana; Pelosi, Paolo; Vieira, Joaquim Edson; Amato, Marcelo B. P."}],"issued":{"date-parts":[["2018"]]}}},{"id":167,"uris":["http://zotero.org/users/local/L5HAWlIW/items/53VQRNW3"],"itemData":{"id":167,"type":"article-journal","abstract":"Applying lung protective mechanical ventilation (LPV) during general anaesthesia even in patients with non-injured lungs is recommended. However, the effects of an individual PEEP-optimisation on respiratory mechanics, oxygenation and their potential correlation with the inflammatory response and postoperative complications have not been evaluated have not been compared to standard LPV in patients undergoing major abdominal surgery. Thirty-nine patients undergoing open radical cystectomy were enrolled in this study. In the study group (SG) optimal PEEP was determined by a decremental titration procedure and defined as the PEEP value resulting the highest static pulmonary compliance. In the control group (CG) PEEP was set to 6 cmH2O. Primary endpoints were intraoperative respiratory mechanics and gas exchange parameters. Secondary outcomes were perioperative procalcitonin kinetics and postoperative pulmonary complications. Optimal PEEP levels (median = 10, range: 8–14 cmH2O), PaO2/FiO2 (451.24 ± 121.78 mmHg vs. 404.15 ± 115.87 mmHg, P = 0.005) and static pulmonary compliance (52.54 ± 13.59 ml cmH2O-1 vs. 45.22 ± 9.13 ml cmH2O-1, P &lt; 0.0001) were significantly higher, while driving pressure (8.26 ± 1.74 cmH2O vs. 9.73 ± 4.02 cmH2O, P &lt; 0.0001) was significantly lower in the SG as compared to the CG. No significant intergroup differences were found in procalcitonin kinetics (P = 0.076). Composite outcome results indicated a non-significant reduction of postoperative complications in the SG. Intraoperative PEEP-optimization resulted in significant improvement in gas exchange and pulmonary mechanics as compared to standard LPV. Whether these have any effect on short and long term outcomes require further investigations. Trial registration: Clinicaltrials.gov, identifier: NCT02931409.","container-title":"Journal of clinical monitoring and computing","DOI":"10.1007/s10877-020-00519-6","issue":"3","note":"publisher: Springer Netherlands","page":"469-482","title":"Effects of intraoperative positive end-expiratory pressure optimization on respiratory mechanics and the inflammatory response: a randomized controlled trial","volume":"35","author":[{"family":"Ruszkai","given":"Zoltán; Kiss","suffix":"Erika; László, Ildikó; Bokrétás, Gergely Péter; Vizserálek, Dóra; Vámossy, Ildikó; Surány, Erika; Buzogány, István; Bajory, Zoltán; Molnár, Zsolt"}],"issued":{"date-parts":[["2020"]]}}},{"id":178,"uris":["http://zotero.org/users/local/L5HAWlIW/items/BNXF362C"],"itemData":{"id":178,"type":"article-journal","abstract":"NA","container-title":"The Lancet. Respiratory medicine","DOI":"10.1016/s2213-2600(18)30024-9","issue":"3","note":"publisher: Elsevier Limited","page":"193-203","title":"Individualised perioperative open-lung approach versus standard protective ventilation in abdominal surgery (iPROVE): a randomised controlled trial.","volume":"6","author":[{"family":"Ferrando","given":"Carlos; Soro","suffix":"Marina; Unzueta, Carmen; Suarez-Sipmann, Fernando; Canet, Jaume; Librero, Julián; Pozo, Natividad; Peiró, Salvador; Llombart, Alicia; León, Irene; India, Inmaculada; Aldecoa, Cesar; Diaz-Cambronero, Oscar; Pestaña, David; Redondo, Francisco J; Garutti, Ignacio; Balust, Jaume; García, Jose Ignacio; Ibáñez, Maite; Granell, M.; Rodríguez, Aurelio; Gallego, Lucía; de la Matta, Manuel; González, Rafael; Brunelli, Andrea; García, Javier Contreras; Rovira, Lucas; Barrios, Francisco; Torres, Vicente; Hernández, Samuel; Gracia, Estefania; Giné, Marta; Garcia, Maria; Garcia, Nuria; Miguel, Lisset; Sánchez, Sergio; Piñeiro, Patricia; Pujol, Roger; García-del-Valle, Santiago; Valdivia, José; Hernández, María; Padrón, Oto; Colás, Ana; Puig, Jaume; Azparren, Gonzalo; Tusman, Gerardo; Villar, Jesús; Belda, Javier; Acosta, Jesús; Aguilar, Gerardo; Alberola, María José; Alcón, Amalia; Alonso, Jose M.; Alonso, María Dolores; Anaya, Rafael; Argente, María Pilar; Agilaga, Marta; Arocas, Blanca; Asensio, Ana; Ayas, Begoña; Ayuso, Mercedes; Balandrón, Victor; Del Barrio, Maria; Bejarano, Natalia; Benítez, Inmaculada; Cabrera, Sergio; Carbonell, José A.; Carramiñana, Albert; Carrizo, Juan; Cegarra, Virginia; Chamorro, Estefanía; Charco, Pedro; Cruz, Patricia; Daviu, Francisco; De Fez, Mario; de Miguel, Angeles; Del Río, Elena; Delgado, Carlos; Díaz, Ruben; Díaz, Susana; Díez, Fernando; Dosdá, Rosa; Duca, Alejandro; Etulain, Ma Justina; Fernández, Carmen; Franco, Tania; Fuentes, Isabel; Gallego, Clara; Gallego-Casilda, Alberto; Galve, Ana Isabel; Garcés, Cristina; García, Mercedes; Garcia, Pablo; Garrigues, Beatriz; Gilabert, Vicente; González, Domingo; Gutierrez, Andrea; Hernández, Inmaculada; Izquierdo, Ana; Jurado, Ana; Katime, Antonio; Llamazares, Eduardo; Lardies, Rosa; Lisbona, Cristina; López-Herrera, Daniel; López, Ramiro; Lozano, Angels; Lozano, Elena; Marcos, José M.; Martín, Silvia; Martínez, Nilda; Martínez, Rocío; Martínez-Pallí, Graciella; Mazzinari, Guido; Miñana, Amanda; Moral, Victoria; Moreno, Tania; Mugarra, Ana; Muñoz, Lorena; Navarro, José I.; Olmedilla, Luis; Olmedo, Jonathan; Ojeda, Nazario; Parera, Ana; Parra, María Asunción; Parrilla, Cristina; Pastor, Ernesto; Peña, Natalia; Pérez, Ana María; Pérez, Jose María; Piqueras, Laura; Rico-Feijoo, Jesús; Rodríguez, Rayco; Román, Javier Ignacio; Romero, Antonio; Romero, Carolina; Romero, Esther; Ruiz, Isabel; Sánchez, Ester; Sandín, Francisco; Serralta, Ferran; Socorro, Tania; Soriano, Laura; Tisner, Manuel; Valencia, Lucía; Valls, Paola; Vaquero, Laura; Varón, Viviana; Vila, María; Villazala, Rubén; Villena, Abigail; Zapatero, Sara"}],"issued":{"date-parts":[["2018"]]}}},{"id":163,"uris":["http://zotero.org/users/local/L5HAWlIW/items/V9KG3S7Z"],"itemData":{"id":163,"type":"article-journal","abstract":"Abstract Background General anaesthesia leads to atelectasis, reduced end-expiratory lung volume (EELV), and diminished arterial oxygenation in obese patients. We hypothesized that a combination of a recruitment manoeuvre (RM) and individualized positive end-expiratory pressure (PEEP) can avoid these effects. Methods Patients with a BMI ≥35 kg m−2 undergoing elective laparoscopic surgery were randomly allocated to mechanical ventilation with a tidal volume of 8 ml kg−1 predicted body weight and (i) an RM followed by individualized PEEP titrated using electrical impedance tomography (PEEPIND) or (ii) no RM and PEEP of 5 cm H2O (PEEP5). Gas exchange, regional ventilation distribution, and EELV (multiple breath nitrogen washout method) were determined before, during, and after anaesthesia. The primary end point was the ratio of arterial partial pressure of oxygen to inspiratory oxygen fraction (PaO2/FiO2). Results For PEEPIND (n=25) and PEEP5 (n=25) arms together, PaO2/FiO2 and EELV decreased by 15 kPa [95% confidence interval (CI) 11–20 kPa, P Conclusions In obese patients, an RM and higher PEEPIND restored EELV, regional ventilation distribution, and oxygenation during anaesthesia, but these differences did not persist after extubation. Therefore, lung protection strategies should include the postoperative period. Clinical trial registration German clinical trials register DRKS00004199, www.who.int/ictrp/network/drks2/en/.","container-title":"British journal of anaesthesia","DOI":"10.1093/bja/aex192","issue":"6","note":"publisher: Oxford University Press","page":"1194-1205","title":"Individualized positive end-expiratory pressure in obese patients during general anaesthesia: a randomized controlled clinical trial using electrical impedance tomography","volume":"119","author":[{"family":"Nestler","given":"C.; Simon","suffix":"P.; Petroff, David; Hammermüller, Sören; Kamrath, D.; Wolf, Samuel J.; Dietrich, Arne; Camilo, Luciana Moisés; Beda, Alessandro; Carvalho, Alysson R.; Giannella-Neto, Antonio; Reske, Andreas W.; Wrigge, Hermann"}],"issued":{"date-parts":[["2017"]]}}},{"id":143,"uris":["http://zotero.org/users/local/L5HAWlIW/items/DLC97TPW"],"itemData":{"id":143,"type":"article-journal","abstract":"For patients undergoing robot-assisted radical prostatectomy, the pneumoperitoneum with a steep Trendelenburg position could worsen intraoperative respiratory mechanics and result in postoperative atelectasis. We investigated the effects of individualized positive end-expiratory pressure (PEEP) on postoperative atelectasis, evaluated using lung ultrasonography. Sixty patients undergoing robot-assisted radical prostatectomy were randomly allocated into two groups. Individualized groups (n = 30) received individualized PEEP determined by a decremental PEEP trial using 20 to 7 cm H2O, aiming at maximizing respiratory compliance, whereas standardized groups (n = 30) received a standardized PEEP of 7 cm H2O during the pneumoperitoneum. Ultrasound examination was performed on 12 sections of thorax, and the lung ultrasound score was measured as 0-3 by considering the number of B lines and the degree of subpleural consolidation. The primary outcome was the difference between the lung ultrasound scores measured before anesthesia induction and just after extubation in the operating room. An increase in the difference means the development of atelectasis. The optimal PEEP in the individualized group was determined as the median (interquartile range) 14 (12-18) cm H2O. Compared with the standardized group, the difference in the lung ultrasound scores was significantly smaller in the individualized group (-0.5 ± 2.7 vs. 6.0 ± 2.9, mean difference -6.53, 95% confidence interval (-8.00 to -5.07), p &lt; 0.001), which means that individualized PEEP was effective to reduce atelectasis. The lung ultrasound score measured after surgery was significantly lower in the individualized group than the standardized group (8.1 ± 5.7 vs. 12.2 ± 4.2, mean difference -4.13, 95% confidence interval (-6.74 to -1.53), p = 0.002). However, the arterial partial pressure of the oxygen/fraction of inspired oxygen levels during the surgery showed no significant time-group interaction between the two groups in repeated-measures analysis of variance (p = 0.145). The incidence of a composite of postoperative respiratory complications was comparable between the two groups. Individualized PEEP determined by maximal respiratory compliance during the pneumoperitoneum and steep Trendelenburg position significantly reduced postoperative atelectasis, as evaluated using lung ultrasonography. However, the clinical significance of this finding should be evaluated by a larger clinical trial.","container-title":"Journal of clinical medicine","DOI":"10.3390/jcm10040850","issue":"4","note":"publisher: Multidisciplinary Digital Publishing Institute (MDPI)","page":"850-NA","title":"The Effect of Ventilation with Individualized Positive End-Expiratory Pressure on Postoperative Atelectasis in Patients Undergoing Robot-Assisted Radical Prostatectomy: A Randomized Controlled Trial.","volume":"10","author":[{"family":"Yoon","given":"Hyun Kyu; Kim","suffix":"Bo Rim; Yoon, Susie; Jeong, Young Hyun; Ku, Ja Hyeon; Kim, Won Ho"}],"issued":{"date-parts":[["2021"]]}}},{"id":182,"uris":["http://zotero.org/users/local/L5HAWlIW/items/463AFJSV"],"itemData":{"id":182,"type":"article-journal","abstract":"&lt;AbstractText Label=\"BACKGROUND\"&gt;Driving pressure (ΔP = Plateau pressure-PEEP) is highly correlated with postoperative pulmonary complications (PPCs) and appears to be a promising indicator for optimizing ventilator settings. We hypothesized that dynamic, individualized positive end-expiratory pressure (PEEP) guided by ΔP could reduce postoperative atelectasis and improve intraoperative oxygenation, respiratory mechanics, and reduce the incidence of PPCs on elderly patients undergoing laparoscopic surgery.&lt;/AbstractText&gt; &lt;AbstractText Label=\"METHODS\"&gt;Fifty-one elderly patients who were subject to laparoscopic surgery participated in this randomized trial. In the PEEP titration group (DV group), the PEEP titration was decremented to the lowest ΔP and repeated every 1 h. Additional procedures were also performed when performing predefined events that may be associated with lung collapse. In the constant PEEP group (PV group), a PEEP of 6 cmH&lt;sub&gt;2&lt;/sub&gt;O was used throughout the surgery. Moreover, zero PEEP was applied during the entire procedure in the conventional ventilation group (CV group). The primary objective of this study was lung ultrasound score noted at the end of surgery and 15 min after admission to the post-anesthesia care unit (PACU) at 12 lung areas bilaterally. The secondary endpoints were perioperative oxygenation function, expiratory mechanics, and the incidence of the PPCs.&lt;/AbstractText&gt; &lt;AbstractText Label=\"RESULTS\"&gt;The lung ultrasound scores of the DV group were significantly lower than those in the PV group and CV group (P &amp;lt; 0.05), whereas there was no significant difference between the PV group and CV group (P &amp;gt; 0.05). The lung static compliance (Cstat) and ΔP at all the intraoperative time points in the DV group were significantly better compared to the PV group and the CV group (p &amp;lt; 0.05).&lt;/AbstractText&gt; &lt;AbstractText Label=\"CONCLUSIONS\"&gt;Intraoperative titrated PEEP reduced postoperative lung atelectasis and improved respiratory mechanics in elderly patients undergoing laparoscopic surgery. Meanwhile, standard PEEP strategy is not superior to conventional ventilation in reducing postoperative pulmonary atelectasis in laparoscopic surgery.&lt;/AbstractText&gt; &lt;CopyrightInformation&gt;© 2022. The Author(s).&lt;/CopyrightInformation&gt;","container-title":"BMC anesthesiology","DOI":"10.1186/s12871-022-01613-9","issue":"1","note":"publisher: BioMed Central","page":"72-NA","title":"Effects of dynamic individualized PEEP guided by driving pressure in laparoscopic surgery on postoperative atelectasis in elderly patients: a prospective randomized controlled trial.","volume":"22","author":[{"family":"Xu","given":"Qi; Guo","suffix":"Xiao; Liu, Jiang; Li, Si-Xun; Ma, Hai-Rui; Wang, Fei-Xiang; Lin, Jing-Yan"}],"issued":{"date-parts":[["2022"]]}}},{"id":149,"uris":["http://zotero.org/users/local/L5HAWlIW/items/HSM2JN5A"],"itemData":{"id":149,"type":"article-journal","abstract":"Abstract Background Higher intraoperative driving pressures (ΔP) are associated with increased postoperative pulmonary complications (PPC). We hypothesised that dynamic adjustment of PEEP throughout abdominal surgery reduces ΔP, maintains positive end-expiratory transpulmonary pressures (Ptp_ee) and increases respiratory system static compliance (Crs) with PEEP levels that are variable between and within patients. Methods In a prospective multicentre pilot study, adults at moderate/high risk for PPC undergoing elective abdominal surgery were randomised to one of three ventilation protocols: (1) PEEP≤2 cm H2O, compared with periodic recruitment manoeuvres followed by individualised PEEP to either optimise respiratory system compliance (PEEPmaxCrs) or maintain positive end-expiratory transpulmonary pressure (PEEPPtp_ee). The composite primary outcome included intraoperative ΔP, Ptp_ee, Crs, and PEEP values (median (interquartile range) and coefficients of variation [CVPEEP]). Results Thirty-seven patients (48.6% female; age range: 47–73 yr) were assigned to control (PEEP≤2 cm H2O; n=13), PEEPmaxCrs (n=16), or PEEPPtp_ee (n=8) groups. The PEEPPtp_ee intervention could not be delivered in two patients. Subjects assigned to PEEPmaxCrs had lower ΔP (median8 cm H2O [7–10]), compared with the control group (12 cm H2O [10–15]; P=0.006). PEEPmaxCrs was also associated with higher Ptp_ee (2.0 cm H2O [-0.7 to 4.5] vs controls: -8.3 cm H2O [-13.0 to -4.0]; P≤0.001) and higher Crs (47.7 ml cm H2O [43.2–68.8] vs controls: 39.0 ml cm H2O [32.9–43.4]; P=0.009). Individualised PEEP (PEEPmaxCrs and PEEPPtp_ee combined) varied widely (median: 10 cm H2O [8-15]; CVPEEP=0.24 [0.14–0.35]), both between, and within, subjects throughout surgery. Conclusions This pilot study suggests that individualised PEEP management strategies applied during abdominal surgery reduce driving pressure, maintain positive Ptp_ee and increase static compliance. The wide range of PEEP observed suggests that an individualised approach is required to optimise respiratory mechanics during abdominal surgery. Clinical trial registration NCT02671721.","container-title":"British journal of anaesthesia","DOI":"10.1016/j.bja.2020.06.030","issue":"3","note":"publisher: Oxford University Press","page":"383-392","title":"Individualized PEEP to optimise respiratory mechanics during abdominal surgery: a pilot randomised controlled trial","volume":"125","author":[{"family":"Fernandez-Bustamante","given":"Ana; Sprung","suffix":"Juraj; Parker, Robert A.; Bartels, Karsten; Weingarten, Toby N.; Kosour, Carolina; Thompson, B. Taylor; Melo, Marcos F. Vidal"}],"issued":{"date-parts":[["2020"]]}}},{"id":5108,"uris":["http://zotero.org/users/local/L5HAWlIW/items/8YNSRVG3"],"itemData":{"id":5108,"type":"article-journal","container-title":"Cureus","DOI":"10.7759/cureus.40278","ISSN":"2168-8184","language":"en","source":"DOI.org (Crossref)","title":"Effect of Lung Compliance-Based Optimum Pressure Versus Fixed Positive End-Expiratory Pressure on Lung Atelectasis Assessed by Modified Lung Ultrasound Score in Laparoscopic Gynecological Surgery: A Prospective Randomized Controlled Trial","title-short":"Effect of Lung Compliance-Based Optimum Pressure Versus Fixed Positive End-Expiratory Pressure on Lung Atelectasis Assessed by Modified Lung Ultrasound Score in Laparoscopic Gynecological Surgery","URL":"https://www.cureus.com/articles/136396-effect-of-lung-compliance-based-optimum-pressure-versus-fixed-positive-end-expiratory-pressure-on-lung-atelectasis-assessed-by-modified-lung-ultrasound-score-in-laparoscopic-gynecological-surgery-a-prospective-randomized-controlled-trial","author":[{"family":"Deeparaj","given":"L"},{"family":"Kumar","given":"Rakesh"},{"family":"Patel","given":"Nishant"},{"family":"Ayub","given":"Arshad"},{"family":"Rewari","given":"Vimi"},{"family":"Subramaniam","given":"Rajeshwari"},{"family":"Roy","given":"Kallol Kumar"}],"accessed":{"date-parts":[["2025",4,28]]},"issued":{"date-parts":[["2023",6,12]]}}},{"id":198,"uris":["http://zotero.org/users/local/L5HAWlIW/items/YALB6N24"],"itemData":{"id":198,"type":"article-journal","abstract":"Bariatric surgery has proven a successful approach in the treatment of morbid obesity and its concomitant diseases such as diabetes mellitus and arterial hypertension. Aiming for optimal management of this challenging patient cohort, tailored concepts directly guided by individual patient physiology may outperform standardized care. Implying esophageal pressure measurement and electrical impedance tomography—increasingly applied monitoring approaches to individually adjust mechanical ventilation in challenging circumstances like acute respiratory distress syndrome (ARDS) and intraabdominal hypertension—we compared our institutions standard ventilator regimen with an individually adjusted positive end expiratory pressure (PEEP) level aiming for a positive transpulmonary pressure (P L) throughout the respiratory cycle. After obtaining written informed consent, 37 patients scheduled for elective bariatric surgery were studied during mechanical ventilation in reverse Trendelenburg position. Before and after installation of capnoperitoneum, PEEP levels were gradually raised from a standard value of 10 cm H2O until a P L of 0 +/− 1 cm H2O was reached. Changes in ventilation were monitored by electrical impedance tomography (EIT) and arterial blood gases (ABGs) were obtained at the end of surgery and 5 and 60 min after extubation, respectively. To achieve the goal of a transpulmonary pressure (P L) of 0 cm H2O at end expiration, PEEP levels of 16.7 cm H2O (95% KI 15.6–18.1) before and 23.8 cm H2O (95% KI 19.6–40.4) during capnoperitoneum were necessary. EIT measurements confirmed an optimal PEEP level between 10 and 15 cm H2O before and 20 and 25 cm H2O during capnoperitoneum, respectively. Intra- and postoperative oxygenation did not change significantly. Patients during laparoscopic bariatric surgery require high levels of PEEP to maintain a positive transpulmonary pressure throughout the respiratory cycle. EIT monitoring allows for non-invasive monitoring of increasing PEEP demand during capnoperitoneum. Individually adjusted PEEP levels did not result in improved postoperative oxygenation.","container-title":"Obesity surgery","DOI":"10.1007/s11695-017-2794-3","issue":"1","note":"publisher: Springer New York","page":"122-129","title":"Intraoperative Ventilation of Morbidly Obese Patients Guided by Transpulmonary Pressure.","volume":"28","author":[{"family":"Eichler","given":"Lars; Truskowska","suffix":"Katarzyna; Duprée, Anna; Busch, Philipp; Goetz, Alwin E.; Zöllner, Christian"}],"issued":{"date-parts":[["2017"]]}}},{"id":133,"uris":["http://zotero.org/users/local/L5HAWlIW/items/UXWZNMU2"],"itemData":{"id":133,"type":"article-journal","abstract":"Background: Low tidal volume (VT) during anesthesia minimizes lung injury but may be associated to a decrease in functional lung volume impairing lung mechanics and efficiency. Lung recruitment (RM ...","container-title":"PloS one","DOI":"10.1371/journal.pone.0177399","issue":"5","note":"publisher: Public Library of Science","page":"e0177399-NA","title":"Open lung approach versus standard protective strategies : Effects on driving pressure and ventilatory efficiency during anesthesia - A pilot, randomized controlled trial","volume":"12","author":[{"family":"Ferrando","given":"Carlos; Suarez-Sipmann","suffix":"Fernando; Tusman, Gerardo; León, Irene; Romero, Esther; Gracia, Estefania; Mugarra, Ana; Arocas, Blanca; Pozo, Natividad; Soro, Marina; Belda, Francisco Javier"}],"issued":{"date-parts":[["2017"]]}}},{"id":148,"uris":["http://zotero.org/users/local/L5HAWlIW/items/B5V6G46C"],"itemData":{"id":148,"type":"article-journal","abstract":"Abstract Background Robot-assisted laparoscopic radical prostatectomy requires general anaesthesia, extreme Trendelenburg positioning and capnoperitoneum. Together these promote impaired pulmonary gas exchange caused by atelectasis and may contribute to postoperative pulmonary complications. In morbidly obese patients, a recruitment manoeuvre (RM) followed by individualised PEEP improves intraoperative oxygenation and end-expiratory lung volume (EELV). We hypothesised that individualised PEEP with initial RM similarly improves intraoperative oxygenation and EELV in non-obese individuals undergoing robot-assisted prostatectomy. Methods Forty males (age, 49–76 yr; BMI Results In 20 males randomised to RM/PEEPIND, the median PEEPIND was 14 cm H2O [inter-quartile range, 8–20]. The Pao2/Fio2 was 10.0 kPa higher with RM/PEEPIND before extubation (95% confidence interval [CI], 2.6–17.3 kPa; P=0.001). RM/PEEPIND increased end-expiratory lung volume by 1.49 L (95% CI, 1.09–1.89 L; P Conclusion In non-obese males, an individualised ventilation strategy improved intraoperative oxygenation, which was associated with higher end-expiratory lung volumes during robot-assisted laparoscopic prostatectomy. Clinical trial registration DRKS00004199 (German clinical trials registry)","container-title":"British journal of anaesthesia","DOI":"10.1016/j.bja.2020.05.041","issue":"3","note":"publisher: Oxford University Press","page":"373-382","title":"Individualised positive end-expiratory pressure guided by electrical impedance tomography for robot-assisted laparoscopic radical prostatectomy: a prospective, randomised controlled clinical trial","volume":"125","author":[{"family":"Girrbach","given":"Felix; Petroff","suffix":"David; Schulz, Susann; Hempel, Gunther; Lange, Mirko; Klotz, Carolin; Scherz, Stephanie; Giannella-Neto, Antonio; Beda, Alessandro; Jardim-Neto, Alcendino; Stolzenburg, Jens-Uwe; Reske, Andreas W.; Wrigge, Hermann; Simon, Philipp"}],"issued":{"date-parts":[["2020"]]}}},{"id":1577,"uris":["http://zotero.org/users/local/L5HAWlIW/items/2Q6YJM6C"],"itemData":{"id":1577,"type":"article-journal","abstract":"BACKGROUND: Individualized positive end‐expiratory pressure (PEEP) guided by dynamic compliance improves oxygenation and reduces postoperative atelectasis in nonobese patients. The authors hypothesized that dynamic compliance‐guided PEEP could also reduce postoperative atelectasis in patients undergoing bariatric surgery. METHODS: Patients scheduled to undergo laparoscopic bariatric surgery were eligible. Dynamic compliance‐guided PEEP titration was conducted in all patients using a downward approach. A recruitment maneuver (PEEP from 10 to 25 cm H2O at 5‐cm H2O step every 30 s, with 15‐cm H2O driving pressure) was conducted both before and after the titration. Patients were then randomized (1:1) to undergo surgery under dynamic compliance‐guided PEEP (PEEP with highest dynamic compliance plus 2 cm H2O) or PEEP of 8 cm H2O. The primary outcome was postoperative atelectasis, as assessed with computed tomography at 60 to 90 min after extubation, and expressed as percentage to total lung tissue volume. Secondary outcomes included Pao2/inspiratory oxygen fraction (Fio2) and postoperative pulmonary complications. RESULTS: Forty patients (mean ± SD; 28 ± 7 yr of age; 25 females; average body mass index, 41.0 ± 4.7 kg/m2) were enrolled. Median PEEP with highest dynamic compliance during titration was 15 cm H2O (interquartile range, 13 to 17; range, 8 to 19) in the entire sample of 40 patients. The primary outcome of postoperative atelectasis (available in 19 patients in each group) was 13.1 ± 5.3% and 9.5 ± 4.3% in the PEEP of 8 cm H2O and dynamic compliance‐guided PEEP groups, respectively (intergroup difference, 3.7%; 95% CI, 0.5 to 6.8%; P = 0.025). Pao2/Fio2 at 1 h after pneumoperitoneum was higher in the dynamic compliance‐guided PEEP group (397 vs. 337 mmHg; group difference, 60; 95% CI, 9 to 111; P = 0.017) but did not differ between the two groups 30 min after extubation (359 vs. 375 mmHg; group difference, ‐17; 95% CI, ‐53 to 21; P = 0.183). The incidence of postoperative pulmonary complications was 4 of 20 in both groups. CONCLUSIONS: Postoperative atelectasis was lower in patients undergoing laparoscopic bariatric surgery under dynamic compliance‐guided PEEP versus PEEP of 8 cm H2O. Postoperative Pao2/Fio2 did not differ between the two groups.","archive_location":"CN-02581757","container-title":"Anesthesiology","DOI":"10.1097/ALN.0000000000004603","issue":"3","journalAbbreviation":"Anesthesiology","page":"262‐273","title":"Individualized Positive End-expiratory Pressure on Postoperative Atelectasis in Patients with Obesity: a Randomized Controlled Clinical Trial","volume":"139","author":[{"family":"Li","given":"X"},{"family":"Liu","given":"H"},{"family":"Wang","given":"J"},{"family":"Ni","given":"ZL"},{"family":"Liu","given":"ZX"},{"family":"Jiao","given":"JL"},{"family":"Han","given":"Y"},{"family":"Cao","given":"JL"}],"issued":{"date-parts":[["2023"]]}}},{"id":1568,"uris":["http://zotero.org/users/local/L5HAWlIW/items/5DJWX5NC"],"itemData":{"id":1568,"type":"article-journal","abstract":"Abstract\n            \n              Objective\n              To evaluate the effect of the individualized positive end-expiratory pressure (PEEP) lung protection ventilation strategy by combining driving pressure (ΔP) and pulmonary ultrasound (LUS)-based titration on lung function and postoperative cognitive function in patients with chronic obstructive pulmonary disease (COPD) during laparoscopic surgery.\n            \n            \n              Methods\n              \n                A total of 108 patients with COPD undergoing laparoscopic gastrointestinal surgery under general anesthesia were included in this study. They were randomly divided into three groups (n = 36): traditional volume ventilation group (Group C), fixed PEEP 5 cmH\n                2\n                O group (Group P), and ΔP combined with LUS-based PEEP titration in the resuscitation room group (Group T). All three groups were given volume ventilation mode, I:E = 1:2; In group C, VT was 10 mL/kg and PEEP was 0 cmH\n                2\n                O; In groups P and T, VT was 6 mL/kg and PEEP was 5 cmH\n                2\n                O; After mechanical ventilation for 15 min in Group T, ΔP in combination with LUS was used to titrate PEEP. The oxygenation index (PaO2/FiO2), airway platform pressure (Pplat), dynamic lung compliance (Cdyn), Montreal Cognitive Assessment (MoCA), and venous interleukin-6(IL-6) were recorded at the corresponding time points, and the final PEEP value in Group T was recorded.\n              \n            \n            \n              Results\n              \n                The final PEEP value of Group T was (6.4 ± 1.2) cmH\n                2\n                O; Compared with groups C and P: PaO\n                2\n                /FiO\n                2\n                and Cdyn in Group T were significantly increased (\n                P\n                 &lt; 0.05) and value of IL-6 was significantly decreased (\n                P\n                 &lt; 0.05) at the corresponding time points. Compared with group C, the MoCA score on day 7 after surgery in Group T was significantly higher (\n                P\n                 &lt; 0.05).\n              \n            \n            \n              Conclusion\n              Compared with the traditional ventilation strategy, the individualized ΔP combined with LUS-based PEEP titration in patients with COPD during the perioperative period of laparoscopic surgery can play a better role in lung protection and can improve postoperative cognitive function.","container-title":"BMC Pulmonary Medicine","DOI":"10.1186/s12890-023-02471-y","ISSN":"1471-2466","issue":"1","journalAbbreviation":"BMC Pulm Med","language":"en","page":"232","source":"DOI.org (Crossref)","title":"Effect of individualized PEEP titration by ultrasonography on perioperative pulmonary protection and postoperative cognitive function in patients with chronic obstructive pulmonary disease","volume":"23","author":[{"family":"Luo","given":"Lai-feng"},{"family":"Lin","given":"Yu-mei"},{"family":"Liu","given":"Ying"},{"family":"Gao","given":"Xiao-hua"},{"family":"Li","given":"Chui-yu"},{"family":"Zhang","given":"Xiao-qi"},{"family":"Wu","given":"Jian-hua"},{"family":"Chen","given":"Zhi-yuan"}],"issued":{"date-parts":[["2023",6,28]]}}},{"id":1667,"uris":["http://zotero.org/users/local/L5HAWlIW/items/C4CXU7ZP"],"itemData":{"id":1667,"type":"article-journal","abstract":"Objective To investigate the effect of individualized positive end expiratory pressure (PEEP) setting guided by chest electrical impedance tomography (EIT) on the incidence of hypoxemia in elderly patients undergoing robot‑assisted radical prostatectomy in the post anesthesia care unit (PACU). Methods From September 2020 to October 2021, sixty elderly patients, with the American Association of Anesthesiologists (ASA) of Grade Ⅰ to Ⅲ, who underwent selective robot‑assisted radical prostatectomy under general anesthesia in the Cancer Hospital Affiliated to Fudan University were selected. The participants were divided into two groups by the minimum randomized grouping method: EIT‑PEEP group (EP group, n=30) and fixed PEEP group (FP group, n=30). After completion of tracheal intubation and establishment of pneumoperitoneum flexion posture, the individualized PEEP setting was guided by EIT in EP group, and the PEEP setting in FP group was 5 cmH2O (1 cmH2O=0.098 kPa) to the end of operation. During the operation, the ventilation mode of pressure regulation volume control was adopted. The driving pressure, dynamic lung compliance (Cdyn), oxygenation index and hemodynamics were recorded at 5 min (T1), 30 min (T2), 60 min (T3) after PEEP setting and at the time of tracheal catheter removal (T4) in both groups. The primary end point was the incidence of hypoxemia in PACU after extubation. Results The incidence of hypoxemia after extubation was 3.3% (1/30) in EP group and 26.7% (8/ 30) in FP group (P=0.030). The difference of driving pressure between the two groups at T2 [(13.1± 2.4) cmH2O vs (14.9±2.9) cmH2O, P=0.012], T3 [(12.7±2.4) cmH2O vs (15.6±2.8) cmH2O, P&lt;0.001] was statistically significant. In EP group, Cdyn was improved at T2 [(38.4±7.2) ml/cmH2O vs (31.9±5.2) ml/cmH2O, P=0.006] and T3 [(37.5</w:instrText>
      </w:r>
      <w:r w:rsidR="00312619">
        <w:rPr>
          <w:rFonts w:cs="Times New Roman"/>
          <w:lang w:val="en-US"/>
        </w:rPr>
        <w:instrText>��</w:instrText>
      </w:r>
      <w:r w:rsidR="00312619">
        <w:rPr>
          <w:lang w:val="en-US"/>
        </w:rPr>
        <w:instrText xml:space="preserve">9.0) ml/cmH2O vs (30.4±5.9) ml/cmH2O, P=0.001]. In EP group, PaO2/FiO2 increased at T1 [(465.7±84.5) mmHg vs (383.5±58.0) mmHg, 1 mmHg=0.133 kPa, P&lt; 0.001], T2 [(504.7±105.8) mmHg vs (418.9±73.7) mmHg, P=0.001], T3 [(520.7±92.2) mmHg vs (423.2±90.7) mmHg, P&lt;0.001], T4 [(368.7±42.0) mmHg vs (339.5±54.9) mmHg, P=0.024]. Conclusion The individualized PEEP setting guided by EIT can reduce the incidence of hypoxemia in elderly patients undergoing robot assisted radical prostatectomy in PACU.","archive_location":"CN-02613242","container-title":"Zhonghua yi xue za zhi","DOI":"10.3760/cma.j.cn112137-20220415-00818","issue":"47","journalAbbreviation":"Zhonghua yi xue za zhi","page":"3727‐3733","title":"Effect of EIT-guided individualized PEEP setting on the incidence of hypoxemia in elderly patients undergoing robot-assisted radical prostatectomy","volume":"102","author":[{"family":"Pan","given":"LL"},{"family":"Gao","given":"LL"},{"family":"Yang","given":"L"},{"family":"Pan","given":"CX"},{"family":"Yin","given":"YH"},{"family":"Zhu","given":"Y"},{"family":"Zhang","given":"J"}],"issued":{"date-parts":[["2022"]]}}},{"id":1566,"uris":["http://zotero.org/users/local/L5HAWlIW/items/5KHQPKBX"],"itemData":{"id":1566,"type":"article-journal","container-title":"Egyptian Journal of Anaesthesia","DOI":"10.1080/11101849.2023.2230050","ISSN":"1110-1849","issue":"1","journalAbbreviation":"Egyptian Journal of Anaesthesia","language":"en","page":"496-501","source":"DOI.org (Crossref)","title":"Effect of individualized intraoperative lung recruitment maneuver on postoperative pulmonary complications in patients undergoing upper abdominal surgeries under general anesthesia","volume":"39","author":[{"family":"Mohammad Salama","given":"Mohammad Elhossieny"},{"family":"El-Taher","given":"Ezzat Mohamed"},{"family":"Abdel-Rahman Al-Touny","given":"Ahmad Hamed"},{"family":"Ismail","given":"Reda Aboelmagd"},{"family":"Abdel-Ghaffar","given":"Mohamed Emad Eldin"}],"issued":{"date-parts":[["2023",12,31]]}}},{"id":28,"uris":["http://zotero.org/users/local/L5HAWlIW/items/BBD2PA7M"],"itemData":{"id":28,"type":"article-journal","container-title":"Obesity Surgery","DOI":"10.1007/s11695-018-03662-x","ISSN":"0960-8923, 1708-0428","issue":"4","journalAbbreviation":"OBES SURG","language":"en","note":"number: 4","page":"1268-1275","source":"DOI.org (Crossref)","title":"Does Lung Compliance Optimization Through PEEP Manipulations Reduce the Incidence of Postoperative Hypoxemia in Laparoscopic Bariatric Surgery? A Randomized Trial","title-short":"Does Lung Compliance Optimization Through PEEP Manipulations Reduce the Incidence of Postoperative Hypoxemia in Laparoscopic Bariatric Surgery?","volume":"29","author":[{"family":"Van Hecke","given":"Delphine"},{"family":"Bidgoli","given":"Javad S."},{"family":"Van der Linden","given":"Philippe"}],"issued":{"date-parts":[["2019",4]]}}},{"id":1564,"uris":["http://zotero.org/users/local/L5HAWlIW/items/FCGMMFJC"],"itemData":{"id":1564,"type":"article-journal","abstract":"Introduction\n              \n                During pneumoperitoneum (PNP), airway driving pressure (ΔP\n                RS\n                ) increases due to the stiffness of the chest wall and cephalic shift of the diaphragm, which favors atelectasis. In addition, depending on the mechanical power (MP) formulas, they may lead to different interpretations.\n              \n            \n            \n              Methods\n              \n                Patients &amp;gt;18 years of age with body mass index &amp;gt;35 kg/m\n                2\n                were included in a single-center randomized controlled trial during their admission for bariatric surgery by abdominal laparoscopy. Intra-abdominal pressure was set at 15 mmHg at the pneumoperitoneum time point (PNP). After the recruitment maneuver, the lowest respiratory system elastance (E\n                RS\n                ) was detected during the positive end-expiratory pressure (PEEP) step-wise decrement. Patients were randomized to the 1) CTRL group: ventilated with PEEP of 5 cmH\n                2\n                O and 2) PEEP\n                IND\n                group: ventilated with PEEP value associated with E\n                RS\n                that is 5% higher than its lowest level. Respiratory system mechanics and mean arterial pressure (MAP) were assessed at the PNP, 5 min after randomization (T1), and at the end of the ventilation protocol (T2); arterial blood gas was assessed at PNP and T2. ΔP\n                RS\n                was the primary outcome. Three MP formulas were used: MP\n                A\n                , which computes static PEEP × volume, elastic, and resistive components; MP\n                B\n                , which computes only the elastic component; and MP\n                C\n                , which computes static PEEP × volume, elastic, and resistive components without inspiratory holds.\n              \n            \n            \n              Results\n              \n                Twenty-eight patients were assessed for eligibility: eight were not included and 20 patients were randomized and allocated to CTRL and PEEP\n                IND\n                groups (\n                n\n                = 10/group). The PEEP\n                IND\n                ventilator strategy reduced ΔP\n                RS\n                when compared with the CTRL group (PEEP\n                IND\n                , 13 ± 2 cmH\n                2\n                O; CTRL, 22 ± 4 cmH\n                2\n                O;\n                p\n                &amp;lt; 0.001). Oxygenation improved in the PEEP\n                IND\n                group when compared with the CTRL group (\n                p\n                = 0.029), whereas MAP was comparable between the PEEP\n                IND\n                and CTRL groups. At the end of surgery, MP\n                A\n                and MP\n                B\n                were correlated in both the CTRL (rho = 0.71,\n                p\n                = 0.019) and PEEP\n                IND\n                (rho = 0.84,\n                p\n                = 0.020) groups but showed different bias (CTRL, −1.9 J/min; PEEP\n                IND\n                , +10.0 J/min). At the end of the surgery, MP\n                A\n                and MP\n                C\n                were correlated in both the CTRL (rho = 0.71,\n                p\n                = 0.019) and PEEP\n                IND\n                (rho = 0.84,\n                p\n                = 0.020) groups but showed different bias (CTRL, −1.9 J/min; PEEP\n                IND\n                , +10.0 J/min).\n              \n            \n            \n              Conclusion\n              \n                Individualized PEEP was associated with a reduction in ΔP\n                RS\n                and an improvement in oxygenation with comparable MAP. The MP, which solely computes the elastic component, better reflected the improvement in ΔP\n                RS\n                observed in the individualized PEEP group.\n              \n            \n            \n              Clinical Trial Registration:\n              The protocol was registered at the Brazilian Registry of Clinical Trials (U1111-1220-7296).","container-title":"Frontiers in Physiology","DOI":"10.3389/fphys.2024.1383167","ISSN":"1664-042X","journalAbbreviation":"Front. Physiol.","page":"1383167","source":"DOI.org (Crossref)","title":"Individualized positive end-expiratory pressure reduces driving pressure in obese patients during laparoscopic surgery under pneumoperitoneum: a randomized clinical trial","title-short":"Individualized positive end-expiratory pressure reduces driving pressure in obese patients during laparoscopic surgery under pneumoperitoneum","volume":"15","author":[{"family":"Xavier","given":"Tiago Batista"},{"family":"Coelho","given":"Leonardo Vicente"},{"family":"Ferreira","given":"Daniel Antonio Lopes"},{"family":"Cota Y Raposeiras","given":"José Manuel"},{"family":"Duran","given":"Marcelo Sampaio"},{"family":"Silva","given":"Leticia Almeida"},{"family":"Motta-Ribeiro","given":"Gabriel Casulari Da"},{"family":"Camilo","given":"Luciana Moisés"},{"family":"Carvalho","given":"Alysson Roncally Silva"},{"family":"Silva","given":"Pedro Leme"}],"issued":{"date-parts":[["2024",4,5]]}}},{"id":1558,"uris":["http://zotero.org/users/local/L5HAWlIW/items/QIKG7S9M"],"itemData":{"id":1558,"type":"article-journal","container-title":"Diabetes, Metabolic Syndrome and Obesity","DOI":"10.2147/DMSO.S405804","ISSN":"1178-7007","journalAbbreviation":"DMSO","language":"en","license":"https://creativecommons.org/licenses/by-nc/3.0/","page":"1515-1523","source":"DOI.org (Crossref)","title":"Driving Pressure-Guided Ventilation in Obese Patients Undergoing Laparoscopic Sleeve Gastrectomy: A Randomized Controlled Trial","title-short":"Driving Pressure-Guided Ventilation in Obese Patients Undergoing Laparoscopic Sleeve Gastrectomy","volume":"Volume 16","author":[{"family":"Yang","given":"Guanyu"},{"family":"Zhang","given":"Pin"},{"family":"Li","given":"Liumei"},{"family":"Wang","given":"Jingjing"},{"family":"Jiao","given":"Pengfei"},{"family":"Wang","given":"Jie"},{"family":"Chu","given":"Qinjun"}],"issued":{"date-parts":[["2023",5]]}}},{"id":157,"uris":["http://zotero.org/users/local/L5HAWlIW/items/9I65CFBK"],"itemData":{"id":157,"type":"article-journal","abstract":"Background The optimal positive end-expiratory pressure (PEEP) to prevent postoperative pulmonary complications (PPCs) remains unclear. Recent evidence showed that driving pressure was closely related to PPCs. In this study, we tested the hypothesis that an individualized PEEP guided by minimum driving pressure during abdominal surgery would reduce the incidence of PPCs. Methods This single-centered, randomized controlled trial included a total of 148 patients scheduled for open upper abdominal surgery. Patients were randomly assigned to receive an individualized PEEP guided by minimum driving pressure or an empiric fixed PEEP of 6 cm H2O. The primary outcome was the incidence of clinically significant PPCs within the first 7 days after surgery, using a χ2 test. Secondary outcomes were the severity of PPCs, the area of atelectasis, and pleural effusion. Other outcomes, such as the incidence of different types of PPCs (including hypoxemia, atelectasis, pleural effusion, dyspnea, pneumonia, pneumothorax, and acute respiratory distress syndrome), intensive care unit (ICU) admission rate, length of hospital stay, and 30-day mortality were also explored. Results The median value of PEEP in the individualized group was 10 cm H2O. The incidence of clinically significant PPCs was significantly lower in the individualized PEEP group compared with that in the fixed PEEP group (26 of 67 [38.8%] vs 42 of 67 [62.7%], relative risk = 0.619, 95% confidence intervals, 0.435-0.881; P = .006). The overall severity of PPCs and the area of atelectasis were also significantly diminished in the individualized PEEP group. Higher respiratory compliance during surgery and improved intra- and postoperative oxygenation was observed in the individualized group. No significant differences were found in other outcomes between the 2 groups, such as ICU admission rate or 30-day mortality. Conclusions The application of individualized PEEP based on minimum driving pressure may effectively decrease the severity of atelectasis, improve oxygenation, and reduce the incidence of clinically significant PPCs after open upper abdominal surgery.","container-title":"Anesthesia and analgesia","DOI":"10.1213/ane.0000000000005575","issue":"5","note":"publisher: Lippincott Williams and Wilkins","page":"1197-1205","title":"Driving Pressure-Guided Individualized Positive End-Expiratory Pressure in Abdominal Surgery: A Randomized Controlled Trial.","volume":"133","author":[{"family":"Zhang","given":"Chengmi; Xu","suffix":"Fengying; Li, Weiwei; Tong, Xingyu; Xia, Ran; Wang, Wei; Du, Jianer; Shi, Xueyin"}],"issued":{"date-parts":[["2021"]]}}},{"id":1562,"uris":["http://zotero.org/users/local/L5HAWlIW/items/ANKXGAEQ"],"itemData":{"id":1562,"type":"article-journal","abstract":"Background\n              Electrical impedance tomography (EIT) has been shown to be useful in guiding individual positive end-expiratory pressure titration for patients with mechanical ventilation. However, the appropriate positive end-expiratory pressure (PEEP) level and whether the individualized PEEP needs to be adjusted during long-term surgery (&amp;gt;6 h) were unknown. Meanwhile, the effect of individualized PEEP on the distribution of pulmonary ventilation in patients who receive abdominal thermoperfusion chemotherapy is unknown. The primary aim of this study was to observe the effect of EIT-guided PEEP on the distribution of pulmonary ventilation in patients undergoing cytoreductive surgery (CRS) combined with hot intraperitoneal chemotherapy (HIPEC). The secondary aim was to analyze their effect on postoperative pulmonary complications.\n            \n            \n              Methods\n              \n                A total of 48 patients were recruited and randomly divided into two groups, with 24 patients in each group. For the control group (group A), PEEP was set at 5 cm H\n                2\n                O, while in the EIT group (group B), individual PEEP was titrated and adjusted every 2 h with EIT guidance. Ventilation distribution, respiratory/circulation parameters, and PPC incidence were compared between the two groups.\n              \n            \n            \n              Results\n              \n                The average individualized PEEP was 10.3 ± 1.5 cm H\n                2\n                O, 10.2 ± 1.6 cm H\n                2\n                O, 10.1 ± 1.8 cm H\n                2\n                O, and 9.7 ± 2.1 cm H\n                2\n                O at 5 min, 2 h, 4 h, and 6 h after tracheal intubation during CRS + HIPEC. Individualized PEEP was correlated with ventilation distribution in the regions of interest (ROI) 1 and ROI 3 at 4 h mechanical ventilation and ROI 1 at 6 h mechanical ventilation. The ventilation distribution under individualized PEEP was back-shifted for 6 h but moved to the control group’s ventral side under PEEP 5 cm H\n                2\n                O. The respiratory and circulatory function indicators were both acceptable either under individualized PEEP or PEEP 5 cm H\n                2\n                O. The incidence of total PPCs was significantly lower under individualized PEEP (66.7%) than PEEP 5 cm H\n                2\n                O (37.5%) for patients with CRS + HIPEC.\n              \n            \n            \n              Conclusion\n              \n                The appropriate individualized PEEP was stable at approximately 10 cm H\n                2\n                O during 6 h for patients with CRS + HIPEC, along with better ventilation distribution and a lower total PPC incidence than the fixed PEEP of 5 cm H\n                2\n                O.\n              \n              \n                Clinical trial registration:\n                identifier ChiCTR1900023897.","container-title":"Frontiers in Medicine","DOI":"10.3389/fmed.2023.1198720","ISSN":"2296-858X","journalAbbreviation":"Front. Med.","page":"1198720.","source":"DOI.org (Crossref)","title":"Effect of individualized positive end-expiratory pressure based on electrical impedance tomography guidance on pulmonary ventilation distribution in patients who receive abdominal thermal perfusion chemotherapy","volume":"10","author":[{"family":"Xiao","given":"Li"},{"family":"Yu","given":"Kang"},{"family":"Yang","given":"Jiao-Jiao"},{"family":"Liu","given":"Wen-Tao"},{"family":"Liu","given":"Lei"},{"family":"Miao","given":"Hui-Hui"},{"family":"Li","given":"Tian-Zuo"}],"issued":{"date-parts":[["2023",9,5]]}}}],"schema":"https://github.com/citation-style-language/schema/raw/master/csl-citation.json"} </w:instrText>
      </w:r>
      <w:r w:rsidR="00E361EE" w:rsidRPr="00483D15">
        <w:rPr>
          <w:lang w:val="en-US"/>
        </w:rPr>
        <w:fldChar w:fldCharType="separate"/>
      </w:r>
      <w:r w:rsidR="00312619" w:rsidRPr="00312619">
        <w:rPr>
          <w:rFonts w:cs="Times New Roman"/>
          <w:kern w:val="0"/>
        </w:rPr>
        <w:t>[1,6,13–15,17,45–48,50,54,56,58,60–64,67]</w:t>
      </w:r>
      <w:r w:rsidR="00E361EE" w:rsidRPr="00483D15">
        <w:rPr>
          <w:lang w:val="en-US"/>
        </w:rPr>
        <w:fldChar w:fldCharType="end"/>
      </w:r>
      <w:r w:rsidRPr="00483D15">
        <w:rPr>
          <w:lang w:val="en-US"/>
        </w:rPr>
        <w:t>, the PEEP level was approximately 6 cm</w:t>
      </w:r>
      <w:r w:rsidR="00A83D2C">
        <w:rPr>
          <w:lang w:val="en-US"/>
        </w:rPr>
        <w:t xml:space="preserve"> </w:t>
      </w:r>
      <w:r w:rsidRPr="00483D15">
        <w:rPr>
          <w:lang w:val="en-US"/>
        </w:rPr>
        <w:t>H</w:t>
      </w:r>
      <w:r w:rsidRPr="00787E54">
        <w:rPr>
          <w:vertAlign w:val="subscript"/>
          <w:lang w:val="en-US"/>
        </w:rPr>
        <w:t>2</w:t>
      </w:r>
      <w:r w:rsidRPr="00483D15">
        <w:rPr>
          <w:lang w:val="en-US"/>
        </w:rPr>
        <w:t>O higher in the individually titrated PEEP group compared to the group receiving a predefined PEEP setting (MD = 6.27 cm H</w:t>
      </w:r>
      <w:r w:rsidRPr="0046796C">
        <w:rPr>
          <w:vertAlign w:val="subscript"/>
          <w:lang w:val="en-US"/>
        </w:rPr>
        <w:t>2</w:t>
      </w:r>
      <w:r w:rsidRPr="00483D15">
        <w:rPr>
          <w:lang w:val="en-US"/>
        </w:rPr>
        <w:t>O, CI: 4.30–8.23, I² = 98.0%, p ≤ 0.001), as shown in</w:t>
      </w:r>
      <w:r w:rsidR="00411FDE">
        <w:rPr>
          <w:lang w:val="en-US"/>
        </w:rPr>
        <w:t xml:space="preserve"> </w:t>
      </w:r>
      <w:r w:rsidR="00411FDE">
        <w:rPr>
          <w:lang w:val="en-US"/>
        </w:rPr>
        <w:fldChar w:fldCharType="begin"/>
      </w:r>
      <w:r w:rsidR="00411FDE">
        <w:rPr>
          <w:lang w:val="en-US"/>
        </w:rPr>
        <w:instrText xml:space="preserve"> REF _Ref204002813 \h </w:instrText>
      </w:r>
      <w:r w:rsidR="00411FDE">
        <w:rPr>
          <w:lang w:val="en-US"/>
        </w:rPr>
      </w:r>
      <w:r w:rsidR="00411FDE">
        <w:rPr>
          <w:lang w:val="en-US"/>
        </w:rPr>
        <w:fldChar w:fldCharType="separate"/>
      </w:r>
      <w:proofErr w:type="spellStart"/>
      <w:r w:rsidR="007F7DB3">
        <w:t>Figure</w:t>
      </w:r>
      <w:proofErr w:type="spellEnd"/>
      <w:r w:rsidR="007F7DB3">
        <w:t xml:space="preserve"> </w:t>
      </w:r>
      <w:r w:rsidR="007F7DB3">
        <w:rPr>
          <w:noProof/>
        </w:rPr>
        <w:t>5</w:t>
      </w:r>
      <w:r w:rsidR="00411FDE">
        <w:rPr>
          <w:lang w:val="en-US"/>
        </w:rPr>
        <w:fldChar w:fldCharType="end"/>
      </w:r>
      <w:r w:rsidRPr="00483D15">
        <w:rPr>
          <w:lang w:val="en-US"/>
        </w:rPr>
        <w:t>.</w:t>
      </w:r>
      <w:r w:rsidR="00EC70EF">
        <w:rPr>
          <w:lang w:val="en-US"/>
        </w:rPr>
        <w:t xml:space="preserve"> </w:t>
      </w:r>
    </w:p>
    <w:p w14:paraId="3F788F26" w14:textId="4C706B25" w:rsidR="00411FDE" w:rsidRDefault="002372FA" w:rsidP="00F008E2">
      <w:r w:rsidRPr="00483D15">
        <w:rPr>
          <w:noProof/>
          <w:lang w:val="en-US"/>
        </w:rPr>
        <w:drawing>
          <wp:inline distT="0" distB="0" distL="0" distR="0" wp14:anchorId="37720635" wp14:editId="71868832">
            <wp:extent cx="4670713" cy="6227801"/>
            <wp:effectExtent l="19050" t="19050" r="15875" b="20955"/>
            <wp:docPr id="225121111" name="Kép 1" descr="A képen szöveg, képernyőkép, Betűtípus, szám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21111" name="Kép 1" descr="A képen szöveg, képernyőkép, Betűtípus, szám látható&#10;&#10;Előfordulhat, hogy a mesterséges intelligencia által létrehozott tartalom helytel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7452" cy="6263454"/>
                    </a:xfrm>
                    <a:prstGeom prst="rect">
                      <a:avLst/>
                    </a:prstGeom>
                    <a:noFill/>
                    <a:ln>
                      <a:solidFill>
                        <a:schemeClr val="tx1"/>
                      </a:solidFill>
                    </a:ln>
                  </pic:spPr>
                </pic:pic>
              </a:graphicData>
            </a:graphic>
          </wp:inline>
        </w:drawing>
      </w:r>
    </w:p>
    <w:p w14:paraId="3FCBE99B" w14:textId="51942661" w:rsidR="00F008E2" w:rsidRDefault="00411FDE" w:rsidP="00F008E2">
      <w:pPr>
        <w:pStyle w:val="Caption"/>
        <w:rPr>
          <w:i w:val="0"/>
          <w:iCs w:val="0"/>
        </w:rPr>
      </w:pPr>
      <w:bookmarkStart w:id="38" w:name="_Ref204002813"/>
      <w:bookmarkStart w:id="39" w:name="_Toc204637058"/>
      <w:proofErr w:type="spellStart"/>
      <w:r>
        <w:t>Figure</w:t>
      </w:r>
      <w:proofErr w:type="spellEnd"/>
      <w:r>
        <w:t xml:space="preserve"> </w:t>
      </w:r>
      <w:fldSimple w:instr=" SEQ Figure \* ARABIC ">
        <w:r w:rsidR="007F7DB3">
          <w:rPr>
            <w:noProof/>
          </w:rPr>
          <w:t>5</w:t>
        </w:r>
      </w:fldSimple>
      <w:bookmarkEnd w:id="38"/>
      <w:r>
        <w:t xml:space="preserve"> - </w:t>
      </w:r>
      <w:r w:rsidRPr="00215737">
        <w:t xml:space="preserve">Forest </w:t>
      </w:r>
      <w:proofErr w:type="spellStart"/>
      <w:r w:rsidRPr="00215737">
        <w:t>plot</w:t>
      </w:r>
      <w:proofErr w:type="spellEnd"/>
      <w:r w:rsidRPr="00215737">
        <w:t xml:space="preserve"> </w:t>
      </w:r>
      <w:proofErr w:type="spellStart"/>
      <w:r w:rsidRPr="00215737">
        <w:t>presenting</w:t>
      </w:r>
      <w:proofErr w:type="spellEnd"/>
      <w:r w:rsidRPr="00215737">
        <w:t xml:space="preserve"> </w:t>
      </w:r>
      <w:proofErr w:type="spellStart"/>
      <w:r w:rsidRPr="00215737">
        <w:t>the</w:t>
      </w:r>
      <w:proofErr w:type="spellEnd"/>
      <w:r w:rsidRPr="00215737">
        <w:t xml:space="preserve"> </w:t>
      </w:r>
      <w:proofErr w:type="spellStart"/>
      <w:r w:rsidRPr="00215737">
        <w:t>mean</w:t>
      </w:r>
      <w:proofErr w:type="spellEnd"/>
      <w:r w:rsidRPr="00215737">
        <w:t xml:space="preserve"> PEEP values, and </w:t>
      </w:r>
      <w:proofErr w:type="spellStart"/>
      <w:r w:rsidRPr="00215737">
        <w:t>mean</w:t>
      </w:r>
      <w:proofErr w:type="spellEnd"/>
      <w:r w:rsidRPr="00215737">
        <w:t xml:space="preserve"> </w:t>
      </w:r>
      <w:proofErr w:type="spellStart"/>
      <w:r w:rsidRPr="00215737">
        <w:t>differences</w:t>
      </w:r>
      <w:proofErr w:type="spellEnd"/>
      <w:r w:rsidRPr="00215737">
        <w:t xml:space="preserve"> of </w:t>
      </w:r>
      <w:proofErr w:type="spellStart"/>
      <w:r w:rsidRPr="00215737">
        <w:t>the</w:t>
      </w:r>
      <w:proofErr w:type="spellEnd"/>
      <w:r w:rsidRPr="00215737">
        <w:t xml:space="preserve"> </w:t>
      </w:r>
      <w:proofErr w:type="spellStart"/>
      <w:r w:rsidRPr="00215737">
        <w:t>studies</w:t>
      </w:r>
      <w:proofErr w:type="spellEnd"/>
      <w:r w:rsidR="002B3ECC">
        <w:t>.</w:t>
      </w:r>
      <w:bookmarkEnd w:id="39"/>
    </w:p>
    <w:p w14:paraId="22E06EAF" w14:textId="7E0830F9" w:rsidR="007650DA" w:rsidRPr="00483D15" w:rsidRDefault="007650DA" w:rsidP="0036711F">
      <w:pPr>
        <w:pStyle w:val="Heading4"/>
        <w:rPr>
          <w:lang w:val="en-US"/>
        </w:rPr>
      </w:pPr>
      <w:r w:rsidRPr="00483D15">
        <w:rPr>
          <w:lang w:val="en-US"/>
        </w:rPr>
        <w:lastRenderedPageBreak/>
        <w:t>8.1.4.3. Vasopressor Requirement</w:t>
      </w:r>
    </w:p>
    <w:p w14:paraId="5C9CD970" w14:textId="0555A0B2" w:rsidR="002C7DD1" w:rsidRPr="00483D15" w:rsidRDefault="0031070F" w:rsidP="0036711F">
      <w:pPr>
        <w:rPr>
          <w:lang w:val="en-US"/>
        </w:rPr>
      </w:pPr>
      <w:r w:rsidRPr="00483D15">
        <w:rPr>
          <w:lang w:val="en-US"/>
        </w:rPr>
        <w:t>Data from 14 studies (1,261 patients)</w:t>
      </w:r>
      <w:r w:rsidR="00BC4CB9">
        <w:rPr>
          <w:lang w:val="en-US"/>
        </w:rPr>
        <w:t xml:space="preserve"> </w:t>
      </w:r>
      <w:r w:rsidR="009B7F1D" w:rsidRPr="00483D15">
        <w:rPr>
          <w:lang w:val="en-US"/>
        </w:rPr>
        <w:fldChar w:fldCharType="begin"/>
      </w:r>
      <w:r w:rsidR="00F80223">
        <w:rPr>
          <w:lang w:val="en-US"/>
        </w:rPr>
        <w:instrText xml:space="preserve"> ADDIN ZOTERO_ITEM CSL_CITATION {"citationID":"TOGr4Ki0","properties":{"formattedCitation":"[1,13\\uc0\\u8211{}15,17,45,46,51,53,56,61,64\\uc0\\u8211{}66]","plainCitation":"[1,13–15,17,45,46,51,53,56,61,64–66]","noteIndex":0},"citationItems":[{"id":147,"uris":["http://zotero.org/users/local/L5HAWlIW/items/A8UQPRVS"],"itemData":{"id":147,"type":"article-journal","abstract":"Editor’s PerspectiveWhat We Already Know about This TopicIn patients with adult respiratory distress syndrome, physiologic tidal volume and positive end-expiratory pressure (PEEP) are protectiveIn patients without lung diseases undergoing mechanical ventilation under general anesthesia, optimal PEEP","container-title":"Anesthesiology","DOI":"10.1097/aln.0000000000002435","issue":"6","note":"publisher: Lippincott Williams and Wilkins","page":"1070-1081","title":"Individual Positive End-expiratory Pressure Settings Optimize Intraoperative Mechanical Ventilation and Reduce Postoperative Atelectasis","volume":"129","author":[{"family":"Pereira","given":"Sérgio; Tucci","suffix":"Mauro R.; Morais, Caio C. A.; Simões, Claudia Marquez; Tonelotto, Bruno Francisco Freitas; Pompeo, Michel S.; Kay, Fernando Uliana; Pelosi, Paolo; Vieira, Joaquim Edson; Amato, Marcelo B. P."}],"issued":{"date-parts":[["2018"]]}}},{"id":178,"uris":["http://zotero.org/users/local/L5HAWlIW/items/BNXF362C"],"itemData":{"id":178,"type":"article-journal","abstract":"NA","container-title":"The Lancet. Respiratory medicine","DOI":"10.1016/s2213-2600(18)30024-9","issue":"3","note":"publisher: Elsevier Limited","page":"193-203","title":"Individualised perioperative open-lung approach versus standard protective ventilation in abdominal surgery (iPROVE): a randomised controlled trial.","volume":"6","author":[{"family":"Ferrando","given":"Carlos; Soro","suffix":"Marina; Unzueta, Carmen; Suarez-Sipmann, Fernando; Canet, Jaume; Librero, Julián; Pozo, Natividad; Peiró, Salvador; Llombart, Alicia; León, Irene; India, Inmaculada; Aldecoa, Cesar; Diaz-Cambronero, Oscar; Pestaña, David; Redondo, Francisco J; Garutti, Ignacio; Balust, Jaume; García, Jose Ignacio; Ibáñez, Maite; Granell, M.; Rodríguez, Aurelio; Gallego, Lucía; de la Matta, Manuel; González, Rafael; Brunelli, Andrea; García, Javier Contreras; Rovira, Lucas; Barrios, Francisco; Torres, Vicente; Hernández, Samuel; Gracia, Estefania; Giné, Marta; Garcia, Maria; Garcia, Nuria; Miguel, Lisset; Sánchez, Sergio; Piñeiro, Patricia; Pujol, Roger; García-del-Valle, Santiago; Valdivia, José; Hernández, María; Padrón, Oto; Colás, Ana; Puig, Jaume; Azparren, Gonzalo; Tusman, Gerardo; Villar, Jesús; Belda, Javier; Acosta, Jesús; Aguilar, Gerardo; Alberola, María José; Alcón, Amalia; Alonso, Jose M.; Alonso, María Dolores; Anaya, Rafael; Argente, María Pilar; Agilaga, Marta; Arocas, Blanca; Asensio, Ana; Ayas, Begoña; Ayuso, Mercedes; Balandrón, Victor; Del Barrio, Maria; Bejarano, Natalia; Benítez, Inmaculada; Cabrera, Sergio; Carbonell, José A.; Carramiñana, Albert; Carrizo, Juan; Cegarra, Virginia; Chamorro, Estefanía; Charco, Pedro; Cruz, Patricia; Daviu, Francisco; De Fez, Mario; de Miguel, Angeles; Del Río, Elena; Delgado, Carlos; Díaz, Ruben; Díaz, Susana; Díez, Fernando; Dosdá, Rosa; Duca, Alejandro; Etulain, Ma Justina; Fernández, Carmen; Franco, Tania; Fuentes, Isabel; Gallego, Clara; Gallego-Casilda, Alberto; Galve, Ana Isabel; Garcés, Cristina; García, Mercedes; Garcia, Pablo; Garrigues, Beatriz; Gilabert, Vicente; González, Domingo; Gutierrez, Andrea; Hernández, Inmaculada; Izquierdo, Ana; Jurado, Ana; Katime, Antonio; Llamazares, Eduardo; Lardies, Rosa; Lisbona, Cristina; López-Herrera, Daniel; López, Ramiro; Lozano, Angels; Lozano, Elena; Marcos, José M.; Martín, Silvia; Martínez, Nilda; Martínez, Rocío; Martínez-Pallí, Graciella; Mazzinari, Guido; Miñana, Amanda; Moral, Victoria; Moreno, Tania; Mugarra, Ana; Muñoz, Lorena; Navarro, José I.; Olmedilla, Luis; Olmedo, Jonathan; Ojeda, Nazario; Parera, Ana; Parra, María Asunción; Parrilla, Cristina; Pastor, Ernesto; Peña, Natalia; Pérez, Ana María; Pérez, Jose María; Piqueras, Laura; Rico-Feijoo, Jesús; Rodríguez, Rayco; Román, Javier Ignacio; Romero, Antonio; Romero, Carolina; Romero, Esther; Ruiz, Isabel; Sánchez, Ester; Sandín, Francisco; Serralta, Ferran; Socorro, Tania; Soriano, Laura; Tisner, Manuel; Valencia, Lucía; Valls, Paola; Vaquero, Laura; Varón, Viviana; Vila, María; Villazala, Rubén; Villena, Abigail; Zapatero, Sara"}],"issued":{"date-parts":[["2018"]]}}},{"id":163,"uris":["http://zotero.org/users/local/L5HAWlIW/items/V9KG3S7Z"],"itemData":{"id":163,"type":"article-journal","abstract":"Abstract Background General anaesthesia leads to atelectasis, reduced end-expiratory lung volume (EELV), and diminished arterial oxygenation in obese patients. We hypothesized that a combination of a recruitment manoeuvre (RM) and individualized positive end-expiratory pressure (PEEP) can avoid these effects. Methods Patients with a BMI ≥35 kg m−2 undergoing elective laparoscopic surgery were randomly allocated to mechanical ventilation with a tidal volume of 8 ml kg−1 predicted body weight and (i) an RM followed by individualized PEEP titrated using electrical impedance tomography (PEEPIND) or (ii) no RM and PEEP of 5 cm H2O (PEEP5). Gas exchange, regional ventilation distribution, and EELV (multiple breath nitrogen washout method) were determined before, during, and after anaesthesia. The primary end point was the ratio of arterial partial pressure of oxygen to inspiratory oxygen fraction (PaO2/FiO2). Results For PEEPIND (n=25) and PEEP5 (n=25) arms together, PaO2/FiO2 and EELV decreased by 15 kPa [95% confidence interval (CI) 11–20 kPa, P Conclusions In obese patients, an RM and higher PEEPIND restored EELV, regional ventilation distribution, and oxygenation during anaesthesia, but these differences did not persist after extubation. Therefore, lung protection strategies should include the postoperative period. Clinical trial registration German clinical trials register DRKS00004199, www.who.int/ictrp/network/drks2/en/.","container-title":"British journal of anaesthesia","DOI":"10.1093/bja/aex192","issue":"6","note":"publisher: Oxford University Press","page":"1194-1205","title":"Individualized positive end-expiratory pressure in obese patients during general anaesthesia: a randomized controlled clinical trial using electrical impedance tomography","volume":"119","author":[{"family":"Nestler","given":"C.; Simon","suffix":"P.; Petroff, David; Hammermüller, Sören; Kamrath, D.; Wolf, Samuel J.; Dietrich, Arne; Camilo, Luciana Moisés; Beda, Alessandro; Carvalho, Alysson R.; Giannella-Neto, Antonio; Reske, Andreas W.; Wrigge, Hermann"}],"issued":{"date-parts":[["2017"]]}}},{"id":143,"uris":["http://zotero.org/users/local/L5HAWlIW/items/DLC97TPW"],"itemData":{"id":143,"type":"article-journal","abstract":"For patients undergoing robot-assisted radical prostatectomy, the pneumoperitoneum with a steep Trendelenburg position could worsen intraoperative respiratory mechanics and result in postoperative atelectasis. We investigated the effects of individualized positive end-expiratory pressure (PEEP) on postoperative atelectasis, evaluated using lung ultrasonography. Sixty patients undergoing robot-assisted radical prostatectomy were randomly allocated into two groups. Individualized groups (n = 30) received individualized PEEP determined by a decremental PEEP trial using 20 to 7 cm H2O, aiming at maximizing respiratory compliance, whereas standardized groups (n = 30) received a standardized PEEP of 7 cm H2O during the pneumoperitoneum. Ultrasound examination was performed on 12 sections of thorax, and the lung ultrasound score was measured as 0-3 by considering the number of B lines and the degree of subpleural consolidation. The primary outcome was the difference between the lung ultrasound scores measured before anesthesia induction and just after extubation in the operating room. An increase in the difference means the development of atelectasis. The optimal PEEP in the individualized group was determined as the median (interquartile range) 14 (12-18) cm H2O. Compared with the standardized group, the difference in the lung ultrasound scores was significantly smaller in the individualized group (-0.5 ± 2.7 vs. 6.0 ± 2.9, mean difference -6.53, 95% confidence interval (-8.00 to -5.07), p &lt; 0.001), which means that individualized PEEP was effective to reduce atelectasis. The lung ultrasound score measured after surgery was significantly lower in the individualized group than the standardized group (8.1 ± 5.7 vs. 12.2 ± 4.2, mean difference -4.13, 95% confidence interval (-6.74 to -1.53), p = 0.002). However, the arterial partial pressure of the oxygen/fraction of inspired oxygen levels during the surgery showed no significant time-group interaction between the two groups in repeated-measures analysis of variance (p = 0.145). The incidence of a composite of postoperative respiratory complications was comparable between the two groups. Individualized PEEP determined by maximal respiratory compliance during the pneumoperitoneum and steep Trendelenburg position significantly reduced postoperative atelectasis, as evaluated using lung ultrasonography. However, the clinical significance of this finding should be evaluated by a larger clinical trial.","container-title":"Journal of clinical medicine","DOI":"10.3390/jcm10040850","issue":"4","note":"publisher: Multidisciplinary Digital Publishing Institute (MDPI)","page":"850-NA","title":"The Effect of Ventilation with Individualized Positive End-Expiratory Pressure on Postoperative Atelectasis in Patients Undergoing Robot-Assisted Radical Prostatectomy: A Randomized Controlled Trial.","volume":"10","author":[{"family":"Yoon","given":"Hyun Kyu; Kim","suffix":"Bo Rim; Yoon, Susie; Jeong, Young Hyun; Ku, Ja Hyeon; Kim, Won Ho"}],"issued":{"date-parts":[["2021"]]}}},{"id":182,"uris":["http://zotero.org/users/local/L5HAWlIW/items/463AFJSV"],"itemData":{"id":182,"type":"article-journal","abstract":"&lt;AbstractText Label=\"BACKGROUND\"&gt;Driving pressure (ΔP = Plateau pressure-PEEP) is highly correlated with postoperative pulmonary complications (PPCs) and appears to be a promising indicator for optimizing ventilator settings. We hypothesized that dynamic, individualized positive end-expiratory pressure (PEEP) guided by ΔP could reduce postoperative atelectasis and improve intraoperative oxygenation, respiratory mechanics, and reduce the incidence of PPCs on elderly patients undergoing laparoscopic surgery.&lt;/AbstractText&gt; &lt;AbstractText Label=\"METHODS\"&gt;Fifty-one elderly patients who were subject to laparoscopic surgery participated in this randomized trial. In the PEEP titration group (DV group), the PEEP titration was decremented to the lowest ΔP and repeated every 1 h. Additional procedures were also performed when performing predefined events that may be associated with lung collapse. In the constant PEEP group (PV group), a PEEP of 6 cmH&lt;sub&gt;2&lt;/sub&gt;O was used throughout the surgery. Moreover, zero PEEP was applied during the entire procedure in the conventional ventilation group (CV group). The primary objective of this study was lung ultrasound score noted at the end of surgery and 15 min after admission to the post-anesthesia care unit (PACU) at 12 lung areas bilaterally. The secondary endpoints were perioperative oxygenation function, expiratory mechanics, and the incidence of the PPCs.&lt;/AbstractText&gt; &lt;AbstractText Label=\"RESULTS\"&gt;The lung ultrasound scores of the DV group were significantly lower than those in the PV group and CV group (P &amp;lt; 0.05), whereas there was no significant difference between the PV group and CV group (P &amp;gt; 0.05). The lung static compliance (Cstat) and ΔP at all the intraoperative time points in the DV group were significantly better compared to the PV group and the CV group (p &amp;lt; 0.05).&lt;/AbstractText&gt; &lt;AbstractText Label=\"CONCLUSIONS\"&gt;Intraoperative titrated PEEP reduced postoperative lung atelectasis and improved respiratory mechanics in elderly patients undergoing laparoscopic surgery. Meanwhile, standard PEEP strategy is not superior to conventional ventilation in reducing postoperative pulmonary atelectasis in laparoscopic surgery.&lt;/AbstractText&gt; &lt;CopyrightInformation&gt;© 2022. The Author(s).&lt;/CopyrightInformation&gt;","container-title":"BMC anesthesiology","DOI":"10.1186/s12871-022-01613-9","issue":"1","note":"publisher: BioMed Central","page":"72-NA","title":"Effects of dynamic individualized PEEP guided by driving pressure in laparoscopic surgery on postoperative atelectasis in elderly patients: a prospective randomized controlled trial.","volume":"22","author":[{"family":"Xu","given":"Qi; Guo","suffix":"Xiao; Liu, Jiang; Li, Si-Xun; Ma, Hai-Rui; Wang, Fei-Xiang; Lin, Jing-Yan"}],"issued":{"date-parts":[["2022"]]}}},{"id":149,"uris":["http://zotero.org/users/local/L5HAWlIW/items/HSM2JN5A"],"itemData":{"id":149,"type":"article-journal","abstract":"Abstract Background Higher intraoperative driving pressures (ΔP) are associated with increased postoperative pulmonary complications (PPC). We hypothesised that dynamic adjustment of PEEP throughout abdominal surgery reduces ΔP, maintains positive end-expiratory transpulmonary pressures (Ptp_ee) and increases respiratory system static compliance (Crs) with PEEP levels that are variable between and within patients. Methods In a prospective multicentre pilot study, adults at moderate/high risk for PPC undergoing elective abdominal surgery were randomised to one of three ventilation protocols: (1) PEEP≤2 cm H2O, compared with periodic recruitment manoeuvres followed by individualised PEEP to either optimise respiratory system compliance (PEEPmaxCrs) or maintain positive end-expiratory transpulmonary pressure (PEEPPtp_ee). The composite primary outcome included intraoperative ΔP, Ptp_ee, Crs, and PEEP values (median (interquartile range) and coefficients of variation [CVPEEP]). Results Thirty-seven patients (48.6% female; age range: 47–73 yr) were assigned to control (PEEP≤2 cm H2O; n=13), PEEPmaxCrs (n=16), or PEEPPtp_ee (n=8) groups. The PEEPPtp_ee intervention could not be delivered in two patients. Subjects assigned to PEEPmaxCrs had lower ΔP (median8 cm H2O [7–10]), compared with the control group (12 cm H2O [10–15]; P=0.006). PEEPmaxCrs was also associated with higher Ptp_ee (2.0 cm H2O [-0.7 to 4.5] vs controls: -8.3 cm H2O [-13.0 to -4.0]; P≤0.001) and higher Crs (47.7 ml cm H2O [43.2–68.8] vs controls: 39.0 ml cm H2O [32.9–43.4]; P=0.009). Individualised PEEP (PEEPmaxCrs and PEEPPtp_ee combined) varied widely (median: 10 cm H2O [8-15]; CVPEEP=0.24 [0.14–0.35]), both between, and within, subjects throughout surgery. Conclusions This pilot study suggests that individualised PEEP management strategies applied during abdominal surgery reduce driving pressure, maintain positive Ptp_ee and increase static compliance. The wide range of PEEP observed suggests that an individualised approach is required to optimise respiratory mechanics during abdominal surgery. Clinical trial registration NCT02671721.","container-title":"British journal of anaesthesia","DOI":"10.1016/j.bja.2020.06.030","issue":"3","note":"publisher: Oxford University Press","page":"383-392","title":"Individualized PEEP to optimise respiratory mechanics during abdominal surgery: a pilot randomised controlled trial","volume":"125","author":[{"family":"Fernandez-Bustamante","given":"Ana; Sprung","suffix":"Juraj; Parker, Robert A.; Bartels, Karsten; Weingarten, Toby N.; Kosour, Carolina; Thompson, B. Taylor; Melo, Marcos F. Vidal"}],"issued":{"date-parts":[["2020"]]}}},{"id":1686,"uris":["http://zotero.org/users/local/L5HAWlIW/items/EFTPW42L"],"itemData":{"id":1686,"type":"article-journal","abstract":"BACKGROUND: Optimal intraoperative positive end‐expiratory pressure (PEEP) improves patient outcomes. Pulse oximetry has been used to determine the lung opening and closing pressures. Therefore, we hypothesized that intraoperative optimal PEEP obtained by titrating inspiratory oxygen fraction (FiO2) guided with pulse oximetry could improve perioperative oxygenation. METHODS: Forty‐six males undergoing elective robotic‐assisted laparoscopic prostatectomy were randomly assigned to either the optimal PEEP group (group O; n=23) or the fixed PEEP of 5 cmH2O group (group C; n=23). Optimal PEEP, defined as the PEEP with the lowest FiO2 or 0.21 to maintain SpO2 greater than or equal to 95%, was obtained in both groups after placing the patients in the Trendelenburg position and conducting intraperitoneal insufflation. Optimal PEEP was maintained for patients in group O. A PEEP of 5 cmH2O intraoperatively was maintained for patients in group C. Both groups were extubated in a semisitting position once the extubation criteria were met. The primary outcome was the arterial oxygen partial pressure (PaO2) divided by the inspiratory oxygen fraction (FiO2) prior to extubation. The secondary outcome was the incidence of postoperative hypoxemia (SpO2 less than 92% on room air after extubation) in the postanesthesia care unit (PACU). RESULTS: The median optimal PEEP was 16 cmH2O (IQR 12‐18). The PaO2/FiO2 prior to extubation was significantly higher in group O than in group C (77.0±4.9 kPa vs. 60.6±5.9 kPa; P=0.04). PaO2/FiO2 was also significantly higher in group O 30 minutes after extubation (57.6±1.9 vs. 46.6±1.8 kPa; P=0.01). The incidence of hypoxemia on room air in the PACU was significantly lower in group O than in group C (4.3% vs. 30.4%; P=0.02). CONCLUSIONS: Intraoperative optimal PEEP can be achieved by a titration of FiO2 guided with SpO2. Maintaining intraoperative optimal PEEP improves intraoperative oxygenation and reduces the incidence of postoperative hypoxemia. TRIAL REGISTRATION: The study was prospectively registered on September 10, 2021, in the Chinese Clinical Trial Registry (identifier: ChiCTR2100051010).","archive_location":"CN-02537259","container-title":"Annals of translational medicine","DOI":"10.21037/atm-22-4357","issue":"5","journalAbbreviation":"Annals of translational medicine","page":"203","title":"Optimal positive end-expiratory pressure obtained with titration of a fraction of inspiratory oxygen: a randomized controlled clinical trial","volume":"11","author":[{"family":"Gao","given":"L"},{"family":"Yang","given":"L"},{"family":"Pan","given":"L"},{"family":"Cui","given":"Y"},{"family":"Zhang","given":"J"}],"issued":{"date-parts":[["2023"]]}}},{"id":148,"uris":["http://zotero.org/users/local/L5HAWlIW/items/B5V6G46C"],"itemData":{"id":148,"type":"article-journal","abstract":"Abstract Background Robot-assisted laparoscopic radical prostatectomy requires general anaesthesia, extreme Trendelenburg positioning and capnoperitoneum. Together these promote impaired pulmonary gas exchange caused by atelectasis and may contribute to postoperative pulmonary complications. In morbidly obese patients, a recruitment manoeuvre (RM) followed by individualised PEEP improves intraoperative oxygenation and end-expiratory lung volume (EELV). We hypothesised that individualised PEEP with initial RM similarly improves intraoperative oxygenation and EELV in non-obese individuals undergoing robot-assisted prostatectomy. Methods Forty males (age, 49–76 yr; BMI Results In 20 males randomised to RM/PEEPIND, the median PEEPIND was 14 cm H2O [inter-quartile range, 8–20]. The Pao2/Fio2 was 10.0 kPa higher with RM/PEEPIND before extubation (95% confidence interval [CI], 2.6–17.3 kPa; P=0.001). RM/PEEPIND increased end-expiratory lung volume by 1.49 L (95% CI, 1.09–1.89 L; P Conclusion In non-obese males, an individualised ventilation strategy improved intraoperative oxygenation, which was associated with higher end-expiratory lung volumes during robot-assisted laparoscopic prostatectomy. Clinical trial registration DRKS00004199 (German clinical trials registry)","container-title":"British journal of anaesthesia","DOI":"10.1016/j.bja.2020.05.041","issue":"3","note":"publisher: Oxford University Press","page":"373-382","title":"Individualised positive end-expiratory pressure guided by electrical impedance tomography for robot-assisted laparoscopic radical prostatectomy: a prospective, randomised controlled clinical trial","volume":"125","author":[{"family":"Girrbach","given":"Felix; Petroff","suffix":"David; Schulz, Susann; Hempel, Gunther; Lange, Mirko; Klotz, Carolin; Scherz, Stephanie; Giannella-Neto, Antonio; Beda, Alessandro; Jardim-Neto, Alcendino; Stolzenburg, Jens-Uwe; Reske, Andreas W.; Wrigge, Hermann; Simon, Philipp"}],"issued":{"date-parts":[["2020"]]}}},{"id":1518,"uris":["http://zotero.org/users/local/L5HAWlIW/items/RBGIT4XK"],"itemData":{"id":1518,"type":"article-journal","abstract":"Abstract\n            \n              The study aimed to investigate the efficacy of PCV-VG combined with individual PEEP during laparoscopic surgery in the Trendelenburg position. 120 patients were randomly divided into four groups: VF group (VCV plus 5cmH\n              2\n              O PEEP), PF group (PCV-VG plus 5cmH\n              2\n              O PEEP), VI group (VCV plus individual PEEP), and PI group (PCV-VG plus individual PEEP).\n              P\n              mean\n              ,\n              P\n              peak\n              , Cdyn, PaO\n              2\n              /FiO\n              2\n              ,\n              V\n              D\n              /V\n              T\n              , A-aDO\n              2\n              and Qs/Qt were recorded at T\n              1\n              (15 min after the induction of anesthesia), T\n              2\n              (60 min after pneumoperitoneum), and T\n              3\n              (5 min at the end of anesthesia). The CC16 and IL-6 were measured at T\n              1\n              and T\n              3\n              . Our results showed that the\n              P\n              mean\n              was increased in VI and PI group, and the\n              P\n              peak\n              was lower in PI group at T\n              2\n              . At T\n              2\n              and T\n              3\n              , the Cdyn of PI group was higher than that in other groups, and PaO\n              2\n              /FiO\n              2\n              was increased in PI group compared with VF and VI group. At T\n              2\n              and T\n              3\n              , A-aDO\n              2\n              of PI and PF group was reduced than that in other groups. The Qs/Qt was decreased in PI group compared with VF and VI group at T\n              2\n              and T\n              3\n              . At T\n              2\n              ,\n              V\n              D\n              /V\n              T\n              in PI group was decreased than other groups. At T\n              3\n              , the concentration of CC16 in PI group was lower compared with other groups, and IL-6 level of PI group was decreased than that in VF and VI group. In conclusion, the patients who underwent laparoscopic surgery, PCV-VG combined with individual PEEP produced favorable lung mechanics and oxygenation, and thus reducing inflammatory response and lung injury.\n            \n            \n              Clinical Trial registry\n              : chictr.org. identifier: ChiCTR-2100044928","container-title":"Journal of Clinical Monitoring and Computing","DOI":"10.1007/s10877-021-00750-9","ISSN":"1387-1307, 1573-2614","issue":"4","journalAbbreviation":"J Clin Monit Comput","language":"en","page":"1155-1164","source":"DOI.org (Crossref)","title":"Effect of pressure-controlled ventilation-volume guaranteed mode combined with individualized positive end-expiratory pressure on respiratory mechanics, oxygenation and lung injury in patients undergoing laparoscopic surgery in Trendelenburg position","volume":"36","author":[{"family":"Li","given":"Jianli"},{"family":"Ma","given":"Saixian"},{"family":"Chang","given":"Xiujie"},{"family":"Ju","given":"Songxu"},{"family":"Zhang","given":"Meng"},{"family":"Yu","given":"Dongdong"},{"family":"Rong","given":"Junfang"}],"issued":{"date-parts":[["2022",8]]}}},{"id":1568,"uris":["http://zotero.org/users/local/L5HAWlIW/items/5DJWX5NC"],"itemData":{"id":1568,"type":"article-journal","abstract":"Abstract\n            \n              Objective\n              To evaluate the effect of the individualized positive end-expiratory pressure (PEEP) lung protection ventilation strategy by combining driving pressure (ΔP) and pulmonary ultrasound (LUS)-based titration on lung function and postoperative cognitive function in patients with chronic obstructive pulmonary disease (COPD) during laparoscopic surgery.\n            \n            \n              Methods\n              \n                A total of 108 patients with COPD undergoing laparoscopic gastrointestinal surgery under general anesthesia were included in this study. They were randomly divided into three groups (n = 36): traditional volume ventilation group (Group C), fixed PEEP 5 cmH\n                2\n                O group (Group P), and ΔP combined with LUS-based PEEP titration in the resuscitation room group (Group T). All three groups were given volume ventilation mode, I:E = 1:2; In group C, VT was 10 mL/kg and PEEP was 0 cmH\n                2\n                O; In groups P and T, VT was 6 mL/kg and PEEP was 5 cmH\n                2\n                O; After mechanical ventilation for 15 min in Group T, ΔP in combination with LUS was used to titrate PEEP. The oxygenation index (PaO2/FiO2), airway platform pressure (Pplat), dynamic lung compliance (Cdyn), Montreal Cognitive Assessment (MoCA), and venous interleukin-6(IL-6) were recorded at the corresponding time points, and the final PEEP value in Group T was recorded.\n              \n            \n            \n              Results\n              \n                The final PEEP value of Group T was (6.4 ± 1.2) cmH\n                2\n                O; Compared with groups C and P: PaO\n                2\n                /FiO\n                2\n                and Cdyn in Group T were significantly increased (\n                P\n                 &lt; 0.05) and value of IL-6 was significantly decreased (\n                P\n                 &lt; 0.05) at the corresponding time points. Compared with group C, the MoCA score on day 7 after surgery in Group T was significantly higher (\n                P\n                 &lt; 0.05).\n              \n            \n            \n              Conclusion\n              Compared with the traditional ventilation strategy, the individualized ΔP combined with LUS-based PEEP titration in patients with COPD during the perioperative period of laparoscopic surgery can play a better role in lung protection and can improve postoperative cognitive function.","container-title":"BMC Pulmonary Medicine","DOI":"10.1186/s12890-023-02471-y","ISSN":"1471-2466","issue":"1","journalAbbreviation":"BMC Pulm Med","language":"en","page":"232","source":"DOI.org (Crossref)","title":"Effect of individualized PEEP titration by ultrasonography on perioperative pulmonary protection and postoperative cognitive function in patients with chronic obstructive pulmonary disease","volume":"23","author":[{"family":"Luo","given":"Lai-feng"},{"family":"Lin","given":"Yu-mei"},{"family":"Liu","given":"Ying"},{"family":"Gao","given":"Xiao-hua"},{"family":"Li","given":"Chui-yu"},{"family":"Zhang","given":"Xiao-qi"},{"family":"Wu","given":"Jian-hua"},{"family":"Chen","given":"Zhi-yuan"}],"issued":{"date-parts":[["2023",6,28]]}}},{"id":28,"uris":["http://zotero.org/users/local/L5HAWlIW/items/BBD2PA7M"],"itemData":{"id":28,"type":"article-journal","container-title":"Obesity Surgery","DOI":"10.1007/s11695-018-03662-x","ISSN":"0960-8923, 1708-0428","issue":"4","journalAbbreviation":"OBES SURG","language":"en","note":"number: 4","page":"1268-1275","source":"DOI.org (Crossref)","title":"Does Lung Compliance Optimization Through PEEP Manipulations Reduce the Incidence of Postoperative Hypoxemia in Laparoscopic Bariatric Surgery? A Randomized Trial","title-short":"Does Lung Compliance Optimization Through PEEP Manipulations Reduce the Incidence of Postoperative Hypoxemia in Laparoscopic Bariatric Surgery?","volume":"29","author":[{"family":"Van Hecke","given":"Delphine"},{"family":"Bidgoli","given":"Javad S."},{"family":"Van der Linden","given":"Philippe"}],"issued":{"date-parts":[["2019",4]]}}},{"id":157,"uris":["http://zotero.org/users/local/L5HAWlIW/items/9I65CFBK"],"itemData":{"id":157,"type":"article-journal","abstract":"Background The optimal positive end-expiratory pressure (PEEP) to prevent postoperative pulmonary complications (PPCs) remains unclear. Recent evidence showed that driving pressure was closely related to PPCs. In this study, we tested the hypothesis that an individualized PEEP guided by minimum driving pressure during abdominal surgery would reduce the incidence of PPCs. Methods This single-centered, randomized controlled trial included a total of 148 patients scheduled for open upper abdominal surgery. Patients were randomly assigned to receive an individualized PEEP guided by minimum driving pressure or an empiric fixed PEEP of 6 cm H2O. The primary outcome was the incidence of clinically significant PPCs within the first 7 days after surgery, using a χ2 test. Secondary outcomes were the severity of PPCs, the area of atelectasis, and pleural effusion. Other outcomes, such as the incidence of different types of PPCs (including hypoxemia, atelectasis, pleural effusion, dyspnea, pneumonia, pneumothorax, and acute respiratory distress syndrome), intensive care unit (ICU) admission rate, length of hospital stay, and 30-day mortality were also explored. Results The median value of PEEP in the individualized group was 10 cm H2O. The incidence of clinically significant PPCs was significantly lower in the individualized PEEP group compared with that in the fixed PEEP group (26 of 67 [38.8%] vs 42 of 67 [62.7%], relative risk = 0.619, 95% confidence intervals, 0.435-0.881; P = .006). The overall severity of PPCs and the area of atelectasis were also significantly diminished in the individualized PEEP group. Higher respiratory compliance during surgery and improved intra- and postoperative oxygenation was observed in the individualized group. No significant differences were found in other outcomes between the 2 groups, such as ICU admission rate or 30-day mortality. Conclusions The application of individualized PEEP based on minimum driving pressure may effectively decrease the severity of atelectasis, improve oxygenation, and reduce the incidence of clinically significant PPCs after open upper abdominal surgery.","container-title":"Anesthesia and analgesia","DOI":"10.1213/ane.0000000000005575","issue":"5","note":"publisher: Lippincott Williams and Wilkins","page":"1197-1205","title":"Driving Pressure-Guided Individualized Positive End-Expiratory Pressure in Abdominal Surgery: A Randomized Controlled Trial.","volume":"133","author":[{"family":"Zhang","given":"Chengmi; Xu","suffix":"Fengying; Li, Weiwei; Tong, Xingyu; Xia, Ran; Wang, Wei; Du, Jianer; Shi, Xueyin"}],"issued":{"date-parts":[["2021"]]}}},{"id":1556,"uris":["http://zotero.org/users/local/L5HAWlIW/items/BRUJD782"],"itemData":{"id":1556,"type":"article-journal","abstract":"Abstract\n            \n              To investigate whether driving pressure–guided ventilation could contribute to a more homogeneous distribution in the lung for gynecological laparoscopy. Chinese patients were randomized, after pneumoperitoneum, to receive either positive end expiratory pressure (PEEP) of 5 cm H\n              2\n              O (control group), or individualized PEEP producing the lowest driving pressure (titration group). Ventilation homogeneity is quantified as the global inhomogeneity (GI) index based on electrical impedance tomography, with a lower index implying more homogeneous ventilation. The perioperative arterial oxygenation index and respiratory system mechanics were also recorded. Blood samples were collected for lung injury biomarkers including interleukin-10, neutrophil elastase, and Clara Cell protein-16. A total of 48 patients were included for analysis. We observed a significant increase in the GI index immediately after tracheal extubation compared to preinduction in the control group (\n              p\n               = 0.040) but not in the titration group (\n              p\n               = 0.279). Furthermore, the GI index was obviously lower in the titration group than in the control group [0.390 (0.066) vs 0.460 (0.074),\n              p\n               = 0.0012]. The oxygenation index and respiratory compliance were significantly higher in the titration group than in the control group. No significant differences in biomarkers or hemodynamics were detected between the two groups. Driving pressure–guided PEEP led to more homogeneous ventilation, as well as improved gas exchange and respiratory compliance for patients undergoing gynecological laparoscopy.\n            \n            \n              Trial Registration\n              : ClinicalTrials.gov NCT04374162; first registration on 05/05/2020.","container-title":"Scientific Reports","DOI":"10.1038/s41598-022-26144-8","ISSN":"2045-2322","issue":"1","journalAbbreviation":"Sci Rep","language":"en","page":"21687","source":"DOI.org (Crossref)","title":"Driving pressure-guided ventilation improves homogeneity in lung gas distribution for gynecological laparoscopy: a randomized controlled trial","title-short":"Driving pressure-guided ventilation improves homogeneity in lung gas distribution for gynecological laparoscopy","volume":"12","author":[{"family":"Zhang","given":"Wei"},{"family":"Liu","given":"Feifei"},{"family":"Zhao","given":"Zhanqi"},{"family":"Shao","given":"Chunqing"},{"family":"Xu","given":"Xin"},{"family":"Ma","given":"Jiajia"},{"family":"Han","given":"Ruquan"}],"issued":{"date-parts":[["2022",12,15]]}}},{"id":1554,"uris":["http://zotero.org/users/local/L5HAWlIW/items/RGSHQSMS"],"itemData":{"id":1554,"type":"article-journal","abstract":"Abstract\n            \n              Background\n              This trial aimed to evaluate the effects of a protective ventilation strategy on oxygenation/pulmonary indexes in patients undergoing robot-assisted radical prostatectomy (RARP) in the steep Trendelenburg position.\n            \n            \n              Methods\n              \n                In phase 1, the most optimal positive end-expiratory pressure (PEEP) was determined in 25 patients at 11 cmH\n                2\n                O. In phase 2, 64 patients were randomized to the traditional ventilation group with tidal volume (VT) of 9 ml/kg of predicted body weight (PBW) and the protective ventilation group with VT of 7 ml/kg of PBW with optimal PEEP and recruitment maneuvers (RMs). The primary endpoint was the intraoperative and postoperative PaO\n                2\n                /FiO\n                2\n                . The secondary endpoints were the PaCO\n                2\n                , SpO\n                2\n                , modified clinical pulmonary infection score (mCPIS), and the rate of complications in the postoperative period.\n              \n            \n            \n              Results\n              \n                Compared with controls, PaO\n                2\n                /FiO\n                2\n                in the protective group increased after the second RM (\n                P\n                =0.018), and the difference remained until postoperative day 3 (\n                P\n                =0.043). PaCO\n                2\n                showed transient accumulation in the protective group after the first RM (T2), but this phenomenon disappeared with time. SpO\n                2\n                in the protective group was significantly higher during the first three postoperative days. Lung compliance was significantly improved after the second RM in the protective group (\n                P\n                =0.025). The mCPIS was lower in the protective group on postoperative day 3 (0.59 (1.09) vs. 1.46 (1.27),\n                P\n                =0.010).\n              \n            \n            \n              Conclusion\n              A protective ventilation strategy with lower VT combined with optimal PEEP and RMs could improve oxygenation and reduce mCPIS in patients undergoing RARP.\n            \n            \n              Trial registration\n              \n                ChiCTR\n                ChiCTR1800015626\n                . Registered on 12 April 2018.","container-title":"Trials","DOI":"10.1186/s13063-021-05310-9","ISSN":"1745-6215","issue":"1","journalAbbreviation":"Trials","language":"en","page":"351","source":"DOI.org (Crossref)","title":"Protective mechanical ventilation with optimal PEEP during RARP improves oxygenation and pulmonary indexes","volume":"22","author":[{"family":"Zhou","given":"Jianwei"},{"family":"Wang","given":"Chuanguang"},{"family":"Lv","given":"Ran"},{"family":"Liu","given":"Na"},{"family":"Huang","given":"Yan"},{"family":"Wang","given":"Wu"},{"family":"Yu","given":"Lina"},{"family":"Xie","given":"Junran"}],"issued":{"date-parts":[["2021",12]]}}}],"schema":"https://github.com/citation-style-language/schema/raw/master/csl-citation.json"} </w:instrText>
      </w:r>
      <w:r w:rsidR="009B7F1D" w:rsidRPr="00483D15">
        <w:rPr>
          <w:lang w:val="en-US"/>
        </w:rPr>
        <w:fldChar w:fldCharType="separate"/>
      </w:r>
      <w:r w:rsidR="00F80223" w:rsidRPr="00F80223">
        <w:rPr>
          <w:rFonts w:cs="Times New Roman"/>
          <w:kern w:val="0"/>
        </w:rPr>
        <w:t>[1,13–15,17,45,46,51,53,56,61,64–66]</w:t>
      </w:r>
      <w:r w:rsidR="009B7F1D" w:rsidRPr="00483D15">
        <w:rPr>
          <w:lang w:val="en-US"/>
        </w:rPr>
        <w:fldChar w:fldCharType="end"/>
      </w:r>
      <w:r w:rsidRPr="00483D15">
        <w:rPr>
          <w:lang w:val="en-US"/>
        </w:rPr>
        <w:t xml:space="preserve"> indicated a higher prevalence of vasopressor use when individually titrated PEEP was applied compared to the </w:t>
      </w:r>
      <w:r w:rsidR="0046796C">
        <w:rPr>
          <w:lang w:val="en-US"/>
        </w:rPr>
        <w:t>CG</w:t>
      </w:r>
      <w:r w:rsidRPr="00483D15">
        <w:rPr>
          <w:lang w:val="en-US"/>
        </w:rPr>
        <w:t xml:space="preserve"> receiving any vasopressor agent (58.9% vs. 54.7%). This was further supported by analysis, which showed a tendency toward a higher risk of requiring vasopressors with individually titrated PEEP</w:t>
      </w:r>
      <w:r w:rsidR="004A0E29">
        <w:rPr>
          <w:lang w:val="en-US"/>
        </w:rPr>
        <w:t xml:space="preserve"> (</w:t>
      </w:r>
      <w:r w:rsidR="00F3306C">
        <w:rPr>
          <w:lang w:val="en-US"/>
        </w:rPr>
        <w:fldChar w:fldCharType="begin"/>
      </w:r>
      <w:r w:rsidR="00F3306C">
        <w:rPr>
          <w:lang w:val="en-US"/>
        </w:rPr>
        <w:instrText xml:space="preserve"> REF _Ref204002973 \h </w:instrText>
      </w:r>
      <w:r w:rsidR="00F3306C">
        <w:rPr>
          <w:lang w:val="en-US"/>
        </w:rPr>
      </w:r>
      <w:r w:rsidR="00F3306C">
        <w:rPr>
          <w:lang w:val="en-US"/>
        </w:rPr>
        <w:fldChar w:fldCharType="separate"/>
      </w:r>
      <w:proofErr w:type="spellStart"/>
      <w:r w:rsidR="007F7DB3">
        <w:t>Figure</w:t>
      </w:r>
      <w:proofErr w:type="spellEnd"/>
      <w:r w:rsidR="007F7DB3">
        <w:t xml:space="preserve"> </w:t>
      </w:r>
      <w:r w:rsidR="007F7DB3">
        <w:rPr>
          <w:noProof/>
        </w:rPr>
        <w:t>6</w:t>
      </w:r>
      <w:r w:rsidR="00F3306C">
        <w:rPr>
          <w:lang w:val="en-US"/>
        </w:rPr>
        <w:fldChar w:fldCharType="end"/>
      </w:r>
      <w:r w:rsidR="00F3306C">
        <w:rPr>
          <w:lang w:val="en-US"/>
        </w:rPr>
        <w:t>)</w:t>
      </w:r>
      <w:r w:rsidRPr="00483D15">
        <w:rPr>
          <w:lang w:val="en-US"/>
        </w:rPr>
        <w:t>. However, this finding did not reach statistical significance (RR = 1.07, 95% CI: 1.00–1.14, I² = 0%, p = 0.062).</w:t>
      </w:r>
    </w:p>
    <w:p w14:paraId="51E1F229" w14:textId="77777777" w:rsidR="00411FDE" w:rsidRDefault="0031159B" w:rsidP="00411FDE">
      <w:pPr>
        <w:keepNext/>
      </w:pPr>
      <w:r w:rsidRPr="00483D15">
        <w:rPr>
          <w:noProof/>
          <w:lang w:val="en-US"/>
        </w:rPr>
        <w:drawing>
          <wp:inline distT="0" distB="0" distL="0" distR="0" wp14:anchorId="004C7812" wp14:editId="6249FB24">
            <wp:extent cx="5400040" cy="5760085"/>
            <wp:effectExtent l="19050" t="19050" r="10160" b="12065"/>
            <wp:docPr id="1825957019" name="Kép 3" descr="A képen szöveg, diagram, Betűtípus, szám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57019" name="Kép 3" descr="A képen szöveg, diagram, Betűtípus, szám látható&#10;&#10;Előfordulhat, hogy a mesterséges intelligencia által létrehozott tartalom helytel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5760085"/>
                    </a:xfrm>
                    <a:prstGeom prst="rect">
                      <a:avLst/>
                    </a:prstGeom>
                    <a:noFill/>
                    <a:ln>
                      <a:solidFill>
                        <a:schemeClr val="tx1"/>
                      </a:solidFill>
                    </a:ln>
                  </pic:spPr>
                </pic:pic>
              </a:graphicData>
            </a:graphic>
          </wp:inline>
        </w:drawing>
      </w:r>
    </w:p>
    <w:p w14:paraId="78DDA3B5" w14:textId="44B3B5FC" w:rsidR="00BC0E4E" w:rsidRPr="00483D15" w:rsidRDefault="00411FDE" w:rsidP="004A0E29">
      <w:pPr>
        <w:pStyle w:val="Caption"/>
        <w:rPr>
          <w:lang w:val="en-US"/>
        </w:rPr>
      </w:pPr>
      <w:bookmarkStart w:id="40" w:name="_Ref204002973"/>
      <w:bookmarkStart w:id="41" w:name="_Toc204637059"/>
      <w:proofErr w:type="spellStart"/>
      <w:r>
        <w:t>Figure</w:t>
      </w:r>
      <w:proofErr w:type="spellEnd"/>
      <w:r>
        <w:t xml:space="preserve"> </w:t>
      </w:r>
      <w:fldSimple w:instr=" SEQ Figure \* ARABIC ">
        <w:r w:rsidR="007F7DB3">
          <w:rPr>
            <w:noProof/>
          </w:rPr>
          <w:t>6</w:t>
        </w:r>
      </w:fldSimple>
      <w:bookmarkEnd w:id="40"/>
      <w:r>
        <w:t xml:space="preserve"> - </w:t>
      </w:r>
      <w:r w:rsidRPr="00D63A3C">
        <w:t xml:space="preserve">Forest </w:t>
      </w:r>
      <w:proofErr w:type="spellStart"/>
      <w:r w:rsidRPr="00D63A3C">
        <w:t>plot</w:t>
      </w:r>
      <w:proofErr w:type="spellEnd"/>
      <w:r w:rsidRPr="00D63A3C">
        <w:t xml:space="preserve"> showing </w:t>
      </w:r>
      <w:proofErr w:type="spellStart"/>
      <w:r w:rsidRPr="00D63A3C">
        <w:t>the</w:t>
      </w:r>
      <w:proofErr w:type="spellEnd"/>
      <w:r w:rsidRPr="00D63A3C">
        <w:t xml:space="preserve"> </w:t>
      </w:r>
      <w:proofErr w:type="spellStart"/>
      <w:r w:rsidRPr="00D63A3C">
        <w:t>risk</w:t>
      </w:r>
      <w:proofErr w:type="spellEnd"/>
      <w:r w:rsidRPr="00D63A3C">
        <w:t xml:space="preserve"> ratio </w:t>
      </w:r>
      <w:proofErr w:type="spellStart"/>
      <w:r w:rsidRPr="00D63A3C">
        <w:t>for</w:t>
      </w:r>
      <w:proofErr w:type="spellEnd"/>
      <w:r w:rsidRPr="00D63A3C">
        <w:t xml:space="preserve"> </w:t>
      </w:r>
      <w:proofErr w:type="spellStart"/>
      <w:r w:rsidRPr="00D63A3C">
        <w:t>vasopressor</w:t>
      </w:r>
      <w:proofErr w:type="spellEnd"/>
      <w:r w:rsidRPr="00D63A3C">
        <w:t xml:space="preserve"> </w:t>
      </w:r>
      <w:proofErr w:type="spellStart"/>
      <w:r w:rsidRPr="00D63A3C">
        <w:t>requirement</w:t>
      </w:r>
      <w:proofErr w:type="spellEnd"/>
      <w:r w:rsidRPr="00D63A3C">
        <w:t>.</w:t>
      </w:r>
      <w:bookmarkEnd w:id="41"/>
      <w:r w:rsidR="002B3ECC" w:rsidRPr="00483D15">
        <w:rPr>
          <w:lang w:val="en-US"/>
        </w:rPr>
        <w:t xml:space="preserve"> </w:t>
      </w:r>
    </w:p>
    <w:p w14:paraId="63904D28" w14:textId="77777777" w:rsidR="00886FC3" w:rsidRPr="00483D15" w:rsidRDefault="00886FC3" w:rsidP="0036711F">
      <w:pPr>
        <w:rPr>
          <w:lang w:val="en-US"/>
        </w:rPr>
      </w:pPr>
    </w:p>
    <w:p w14:paraId="5A151178" w14:textId="56579508" w:rsidR="009E66C7" w:rsidRPr="00483D15" w:rsidRDefault="00B417A3" w:rsidP="00E64DDA">
      <w:pPr>
        <w:rPr>
          <w:lang w:val="en-US"/>
        </w:rPr>
      </w:pPr>
      <w:r w:rsidRPr="00386E36">
        <w:rPr>
          <w:lang w:val="en-US"/>
        </w:rPr>
        <w:lastRenderedPageBreak/>
        <w:t>Our</w:t>
      </w:r>
      <w:r w:rsidRPr="00483D15">
        <w:rPr>
          <w:lang w:val="en-US"/>
        </w:rPr>
        <w:t xml:space="preserve"> analysis found no significant differences between </w:t>
      </w:r>
      <w:r w:rsidR="000773D6" w:rsidRPr="00483D15">
        <w:rPr>
          <w:lang w:val="en-US"/>
        </w:rPr>
        <w:t xml:space="preserve">groups regarding the maximum norepinephrine doses, </w:t>
      </w:r>
      <w:r w:rsidR="00671D44" w:rsidRPr="00483D15">
        <w:rPr>
          <w:lang w:val="en-US"/>
        </w:rPr>
        <w:t xml:space="preserve">or the </w:t>
      </w:r>
      <w:proofErr w:type="gramStart"/>
      <w:r w:rsidR="00671D44" w:rsidRPr="00483D15">
        <w:rPr>
          <w:lang w:val="en-US"/>
        </w:rPr>
        <w:t>amount</w:t>
      </w:r>
      <w:proofErr w:type="gramEnd"/>
      <w:r w:rsidR="00671D44" w:rsidRPr="00483D15">
        <w:rPr>
          <w:lang w:val="en-US"/>
        </w:rPr>
        <w:t xml:space="preserve"> of vasopressors</w:t>
      </w:r>
      <w:r w:rsidR="00492F30" w:rsidRPr="00483D15">
        <w:rPr>
          <w:lang w:val="en-US"/>
        </w:rPr>
        <w:t xml:space="preserve"> (ephedrine, phenylephrine)</w:t>
      </w:r>
      <w:r w:rsidR="00671D44" w:rsidRPr="00483D15">
        <w:rPr>
          <w:lang w:val="en-US"/>
        </w:rPr>
        <w:t xml:space="preserve"> used</w:t>
      </w:r>
      <w:r w:rsidR="00875937" w:rsidRPr="00483D15">
        <w:rPr>
          <w:lang w:val="en-US"/>
        </w:rPr>
        <w:t xml:space="preserve"> </w:t>
      </w:r>
      <w:r w:rsidR="00492F30" w:rsidRPr="00483D15">
        <w:rPr>
          <w:lang w:val="en-US"/>
        </w:rPr>
        <w:t>(</w:t>
      </w:r>
      <w:r w:rsidR="007650DA" w:rsidRPr="00483D15">
        <w:rPr>
          <w:lang w:val="en-US"/>
        </w:rPr>
        <w:t>MD = −0.19 mcg/min/kg 95% CI: −2.40–2.01</w:t>
      </w:r>
      <w:r w:rsidR="00492F30" w:rsidRPr="00483D15">
        <w:rPr>
          <w:lang w:val="en-US"/>
        </w:rPr>
        <w:t>; MD = 0.22 mg 95% CI: −1.23–1.68;</w:t>
      </w:r>
      <w:r w:rsidR="007650DA" w:rsidRPr="00483D15">
        <w:rPr>
          <w:lang w:val="en-US"/>
        </w:rPr>
        <w:t xml:space="preserve"> </w:t>
      </w:r>
      <w:r w:rsidR="00492F30" w:rsidRPr="00483D15">
        <w:rPr>
          <w:lang w:val="en-US"/>
        </w:rPr>
        <w:t>MD = 0.00 mcg 95% CI: −0.00–0.00)</w:t>
      </w:r>
      <w:r w:rsidR="00CA0F91" w:rsidRPr="00483D15">
        <w:rPr>
          <w:lang w:val="en-US"/>
        </w:rPr>
        <w:t xml:space="preserve">. </w:t>
      </w:r>
    </w:p>
    <w:p w14:paraId="2A329C2F" w14:textId="3A3BA552" w:rsidR="00BB5924" w:rsidRPr="00483D15" w:rsidRDefault="00BB5924" w:rsidP="0036711F">
      <w:pPr>
        <w:pStyle w:val="Heading4"/>
        <w:rPr>
          <w:lang w:val="en-US"/>
        </w:rPr>
      </w:pPr>
      <w:r w:rsidRPr="00483D15">
        <w:rPr>
          <w:lang w:val="en-US"/>
        </w:rPr>
        <w:t>8.1.4.4. Respiratory Mechanics</w:t>
      </w:r>
    </w:p>
    <w:p w14:paraId="5BE0D9C3" w14:textId="735A1A04" w:rsidR="007378F5" w:rsidRPr="00483D15" w:rsidRDefault="007378F5" w:rsidP="00282CB9">
      <w:pPr>
        <w:rPr>
          <w:lang w:val="en-US"/>
        </w:rPr>
      </w:pPr>
      <w:r w:rsidRPr="00483D15">
        <w:rPr>
          <w:lang w:val="en-US"/>
        </w:rPr>
        <w:t>Data on dynamic and static compliance (Cdyn, Cstat) from 2</w:t>
      </w:r>
      <w:r w:rsidR="00245C1E" w:rsidRPr="00483D15">
        <w:rPr>
          <w:lang w:val="en-US"/>
        </w:rPr>
        <w:t>0</w:t>
      </w:r>
      <w:r w:rsidRPr="00483D15">
        <w:rPr>
          <w:lang w:val="en-US"/>
        </w:rPr>
        <w:t xml:space="preserve"> studies (1,573 patients)</w:t>
      </w:r>
      <w:r w:rsidR="001F3E9D">
        <w:rPr>
          <w:lang w:val="en-US"/>
        </w:rPr>
        <w:t xml:space="preserve"> </w:t>
      </w:r>
      <w:r w:rsidR="00754BDC" w:rsidRPr="00483D15">
        <w:rPr>
          <w:lang w:val="en-US"/>
        </w:rPr>
        <w:fldChar w:fldCharType="begin"/>
      </w:r>
      <w:r w:rsidR="001D19FE">
        <w:rPr>
          <w:lang w:val="en-US"/>
        </w:rPr>
        <w:instrText xml:space="preserve"> ADDIN ZOTERO_ITEM CSL_CITATION {"citationID":"FQC7PsQb","properties":{"formattedCitation":"[1,6,14,15,47,49\\uc0\\u8211{}54,56\\uc0\\u8211{}61,64,64,67]","plainCitation":"[1,6,14,15,47,49–54,56–61,64,64,67]","noteIndex":0},"citationItems":[{"id":147,"uris":["http://zotero.org/users/local/L5HAWlIW/items/A8UQPRVS"],"itemData":{"id":147,"type":"article-journal","abstract":"Editor’s PerspectiveWhat We Already Know about This TopicIn patients with adult respiratory distress syndrome, physiologic tidal volume and positive end-expiratory pressure (PEEP) are protectiveIn patients without lung diseases undergoing mechanical ventilation under general anesthesia, optimal PEEP","container-title":"Anesthesiology","DOI":"10.1097/aln.0000000000002435","issue":"6","note":"publisher: Lippincott Williams and Wilkins","page":"1070-1081","title":"Individual Positive End-expiratory Pressure Settings Optimize Intraoperative Mechanical Ventilation and Reduce Postoperative Atelectasis","volume":"129","author":[{"family":"Pereira","given":"Sérgio; Tucci","suffix":"Mauro R.; Morais, Caio C. A.; Simões, Claudia Marquez; Tonelotto, Bruno Francisco Freitas; Pompeo, Michel S.; Kay, Fernando Uliana; Pelosi, Paolo; Vieira, Joaquim Edson; Amato, Marcelo B. P."}],"issued":{"date-parts":[["2018"]]}}},{"id":167,"uris":["http://zotero.org/users/local/L5HAWlIW/items/53VQRNW3"],"itemData":{"id":167,"type":"article-journal","abstract":"Applying lung protective mechanical ventilation (LPV) during general anaesthesia even in patients with non-injured lungs is recommended. However, the effects of an individual PEEP-optimisation on respiratory mechanics, oxygenation and their potential correlation with the inflammatory response and postoperative complications have not been evaluated have not been compared to standard LPV in patients undergoing major abdominal surgery. Thirty-nine patients undergoing open radical cystectomy were enrolled in this study. In the study group (SG) optimal PEEP was determined by a decremental titration procedure and defined as the PEEP value resulting the highest static pulmonary compliance. In the control group (CG) PEEP was set to 6 cmH2O. Primary endpoints were intraoperative respiratory mechanics and gas exchange parameters. Secondary outcomes were perioperative procalcitonin kinetics and postoperative pulmonary complications. Optimal PEEP levels (median = 10, range: 8–14 cmH2O), PaO2/FiO2 (451.24 ± 121.78 mmHg vs. 404.15 ± 115.87 mmHg, P = 0.005) and static pulmonary compliance (52.54 ± 13.59 ml cmH2O-1 vs. 45.22 ± 9.13 ml cmH2O-1, P &lt; 0.0001) were significantly higher, while driving pressure (8.26 ± 1.74 cmH2O vs. 9.73 ± 4.02 cmH2O, P &lt; 0.0001) was significantly lower in the SG as compared to the CG. No significant intergroup differences were found in procalcitonin kinetics (P = 0.076). Composite outcome results indicated a non-significant reduction of postoperative complications in the SG. Intraoperative PEEP-optimization resulted in significant improvement in gas exchange and pulmonary mechanics as compared to standard LPV. Whether these have any effect on short and long term outcomes require further investigations. Trial registration: Clinicaltrials.gov, identifier: NCT02931409.","container-title":"Journal of clinical monitoring and computing","DOI":"10.1007/s10877-020-00519-6","issue":"3","note":"publisher: Springer Netherlands","page":"469-482","title":"Effects of intraoperative positive end-expiratory pressure optimization on respiratory mechanics and the inflammatory response: a randomized controlled trial","volume":"35","author":[{"family":"Ruszkai","given":"Zoltán; Kiss","suffix":"Erika; László, Ildikó; Bokrétás, Gergely Péter; Vizserálek, Dóra; Vámossy, Ildikó; Surány, Erika; Buzogány, István; Bajory, Zoltán; Molnár, Zsolt"}],"issued":{"date-parts":[["2020"]]}}},{"id":163,"uris":["http://zotero.org/users/local/L5HAWlIW/items/V9KG3S7Z"],"itemData":{"id":163,"type":"article-journal","abstract":"Abstract Background General anaesthesia leads to atelectasis, reduced end-expiratory lung volume (EELV), and diminished arterial oxygenation in obese patients. We hypothesized that a combination of a recruitment manoeuvre (RM) and individualized positive end-expiratory pressure (PEEP) can avoid these effects. Methods Patients with a BMI ≥35 kg m−2 undergoing elective laparoscopic surgery were randomly allocated to mechanical ventilation with a tidal volume of 8 ml kg−1 predicted body weight and (i) an RM followed by individualized PEEP titrated using electrical impedance tomography (PEEPIND) or (ii) no RM and PEEP of 5 cm H2O (PEEP5). Gas exchange, regional ventilation distribution, and EELV (multiple breath nitrogen washout method) were determined before, during, and after anaesthesia. The primary end point was the ratio of arterial partial pressure of oxygen to inspiratory oxygen fraction (PaO2/FiO2). Results For PEEPIND (n=25) and PEEP5 (n=25) arms together, PaO2/FiO2 and EELV decreased by 15 kPa [95% confidence interval (CI) 11–20 kPa, P Conclusions In obese patients, an RM and higher PEEPIND restored EELV, regional ventilation distribution, and oxygenation during anaesthesia, but these differences did not persist after extubation. Therefore, lung protection strategies should include the postoperative period. Clinical trial registration German clinical trials register DRKS00004199, www.who.int/ictrp/network/drks2/en/.","container-title":"British journal of anaesthesia","DOI":"10.1093/bja/aex192","issue":"6","note":"publisher: Oxford University Press","page":"1194-1205","title":"Individualized positive end-expiratory pressure in obese patients during general anaesthesia: a randomized controlled clinical trial using electrical impedance tomography","volume":"119","author":[{"family":"Nestler","given":"C.; Simon","suffix":"P.; Petroff, David; Hammermüller, Sören; Kamrath, D.; Wolf, Samuel J.; Dietrich, Arne; Camilo, Luciana Moisés; Beda, Alessandro; Carvalho, Alysson R.; Giannella-Neto, Antonio; Reske, Andreas W.; Wrigge, Hermann"}],"issued":{"date-parts":[["2017"]]}}},{"id":143,"uris":["http://zotero.org/users/local/L5HAWlIW/items/DLC97TPW"],"itemData":{"id":143,"type":"article-journal","abstract":"For patients undergoing robot-assisted radical prostatectomy, the pneumoperitoneum with a steep Trendelenburg position could worsen intraoperative respiratory mechanics and result in postoperative atelectasis. We investigated the effects of individualized positive end-expiratory pressure (PEEP) on postoperative atelectasis, evaluated using lung ultrasonography. Sixty patients undergoing robot-assisted radical prostatectomy were randomly allocated into two groups. Individualized groups (n = 30) received individualized PEEP determined by a decremental PEEP trial using 20 to 7 cm H2O, aiming at maximizing respiratory compliance, whereas standardized groups (n = 30) received a standardized PEEP of 7 cm H2O during the pneumoperitoneum. Ultrasound examination was performed on 12 sections of thorax, and the lung ultrasound score was measured as 0-3 by considering the number of B lines and the degree of subpleural consolidation. The primary outcome was the difference between the lung ultrasound scores measured before anesthesia induction and just after extubation in the operating room. An increase in the difference means the development of atelectasis. The optimal PEEP in the individualized group was determined as the median (interquartile range) 14 (12-18) cm H2O. Compared with the standardized group, the difference in the lung ultrasound scores was significantly smaller in the individualized group (-0.5 ± 2.7 vs. 6.0 ± 2.9, mean difference -6.53, 95% confidence interval (-8.00 to -5.07), p &lt; 0.001), which means that individualized PEEP was effective to reduce atelectasis. The lung ultrasound score measured after surgery was significantly lower in the individualized group than the standardized group (8.1 ± 5.7 vs. 12.2 ± 4.2, mean difference -4.13, 95% confidence interval (-6.74 to -1.53), p = 0.002). However, the arterial partial pressure of the oxygen/fraction of inspired oxygen levels during the surgery showed no significant time-group interaction between the two groups in repeated-measures analysis of variance (p = 0.145). The incidence of a composite of postoperative respiratory complications was comparable between the two groups. Individualized PEEP determined by maximal respiratory compliance during the pneumoperitoneum and steep Trendelenburg position significantly reduced postoperative atelectasis, as evaluated using lung ultrasonography. However, the clinical significance of this finding should be evaluated by a larger clinical trial.","container-title":"Journal of clinical medicine","DOI":"10.3390/jcm10040850","issue":"4","note":"publisher: Multidisciplinary Digital Publishing Institute (MDPI)","page":"850-NA","title":"The Effect of Ventilation with Individualized Positive End-Expiratory Pressure on Postoperative Atelectasis in Patients Undergoing Robot-Assisted Radical Prostatectomy: A Randomized Controlled Trial.","volume":"10","author":[{"family":"Yoon","given":"Hyun Kyu; Kim","suffix":"Bo Rim; Yoon, Susie; Jeong, Young Hyun; Ku, Ja Hyeon; Kim, Won Ho"}],"issued":{"date-parts":[["2021"]]}}},{"id":5108,"uris":["http://zotero.org/users/local/L5HAWlIW/items/8YNSRVG3"],"itemData":{"id":5108,"type":"article-journal","container-title":"Cureus","DOI":"10.7759/cureus.40278","ISSN":"2168-8184","language":"en","source":"DOI.org (Crossref)","title":"Effect of Lung Compliance-Based Optimum Pressure Versus Fixed Positive End-Expiratory Pressure on Lung Atelectasis Assessed by Modified Lung Ultrasound Score in Laparoscopic Gynecological Surgery: A Prospective Randomized Controlled Trial","title-short":"Effect of Lung Compliance-Based Optimum Pressure Versus Fixed Positive End-Expiratory Pressure on Lung Atelectasis Assessed by Modified Lung Ultrasound Score in Laparoscopic Gynecological Surgery","URL":"https://www.cureus.com/articles/136396-effect-of-lung-compliance-based-optimum-pressure-versus-fixed-positive-end-expiratory-pressure-on-lung-atelectasis-assessed-by-modified-lung-ultrasound-score-in-laparoscopic-gynecological-surgery-a-prospective-randomized-controlled-trial","author":[{"family":"Deeparaj","given":"L"},{"family":"Kumar","given":"Rakesh"},{"family":"Patel","given":"Nishant"},{"family":"Ayub","given":"Arshad"},{"family":"Rewari","given":"Vimi"},{"family":"Subramaniam","given":"Rajeshwari"},{"family":"Roy","given":"Kallol Kumar"}],"accessed":{"date-parts":[["2025",4,28]]},"issued":{"date-parts":[["2023",6,12]]}}},{"id":177,"uris":["http://zotero.org/users/local/L5HAWlIW/items/TAVD8H27"],"itemData":{"id":177,"type":"article-journal","abstract":"NA","container-title":"Surgery for obesity and related diseases : official journal of the American Society for Bariatric Surgery","DOI":"10.1016/j.soard.2020.09.023","issue":"2","note":"publisher: Elsevier Inc.","page":"372-378","title":"The use of intraoperative bedside lung ultrasound in optimizing positive end expiratory pressure in obese patients undergoing laparoscopic bariatric surgeries.","volume":"17","author":[{"family":"Elshazly","given":"M.O.; Khair","suffix":"Tamer Mohamed; Bassem, Marina; Mansour, M. A."}],"issued":{"date-parts":[["2020"]]}}},{"id":133,"uris":["http://zotero.org/users/local/L5HAWlIW/items/UXWZNMU2"],"itemData":{"id":133,"type":"article-journal","abstract":"Background: Low tidal volume (VT) during anesthesia minimizes lung injury but may be associated to a decrease in functional lung volume impairing lung mechanics and efficiency. Lung recruitment (RM ...","container-title":"PloS one","DOI":"10.1371/journal.pone.0177399","issue":"5","note":"publisher: Public Library of Science","page":"e0177399-NA","title":"Open lung approach versus standard protective strategies : Effects on driving pressure and ventilatory efficiency during anesthesia - A pilot, randomized controlled trial","volume":"12","author":[{"family":"Ferrando","given":"Carlos; Suarez-Sipmann","suffix":"Fernando; Tusman, Gerardo; León, Irene; Romero, Esther; Gracia, Estefania; Mugarra, Ana; Arocas, Blanca; Pozo, Natividad; Soro, Marina; Belda, Francisco Javier"}],"issued":{"date-parts":[["2017"]]}}},{"id":1686,"uris":["http://zotero.org/users/local/L5HAWlIW/items/EFTPW42L"],"itemData":{"id":1686,"type":"article-journal","abstract":"BACKGROUND: Optimal intraoperative positive end‐expiratory pressure (PEEP) improves patient outcomes. Pulse oximetry has been used to determine the lung opening and closing pressures. Therefore, we hypothesized that intraoperative optimal PEEP obtained by titrating inspiratory oxygen fraction (FiO2) guided with pulse oximetry could improve perioperative oxygenation. METHODS: Forty‐six males undergoing elective robotic‐assisted laparoscopic prostatectomy were randomly assigned to either the optimal PEEP group (group O; n=23) or the fixed PEEP of 5 cmH2O group (group C; n=23). Optimal PEEP, defined as the PEEP with the lowest FiO2 or 0.21 to maintain SpO2 greater than or equal to 95%, was obtained in both groups after placing the patients in the Trendelenburg position and conducting intraperitoneal insufflation. Optimal PEEP was maintained for patients in group O. A PEEP of 5 cmH2O intraoperatively was maintained for patients in group C. Both groups were extubated in a semisitting position once the extubation criteria were met. The primary outcome was the arterial oxygen partial pressure (PaO2) divided by the inspiratory oxygen fraction (FiO2) prior to extubation. The secondary outcome was the incidence of postoperative hypoxemia (SpO2 less than 92% on room air after extubation) in the postanesthesia care unit (PACU). RESULTS: The median optimal PEEP was 16 cmH2O (IQR 12‐18). The PaO2/FiO2 prior to extubation was significantly higher in group O than in group C (77.0±4.9 kPa vs. 60.6±5.9 kPa; P=0.04). PaO2/FiO2 was also significantly higher in group O 30 minutes after extubation (57.6±1.9 vs. 46.6±1.8 kPa; P=0.01). The incidence of hypoxemia on room air in the PACU was significantly lower in group O than in group C (4.3% vs. 30.4%; P=0.02). CONCLUSIONS: Intraoperative optimal PEEP can be achieved by a titration of FiO2 guided with SpO2. Maintaining intraoperative optimal PEEP improves intraoperative oxygenation and reduces the incidence of postoperative hypoxemia. TRIAL REGISTRATION: The study was prospectively registered on September 10, 2021, in the Chinese Clinical Trial Registry (identifier: ChiCTR2100051010).","archive_location":"CN-02537259","container-title":"Annals of translational medicine","DOI":"10.21037/atm-22-4357","issue":"5","journalAbbreviation":"Annals of translational medicine","page":"203","title":"Optimal positive end-expiratory pressure obtained with titration of a fraction of inspiratory oxygen: a randomized controlled clinical trial","volume":"11","author":[{"family":"Gao","given":"L"},{"family":"Yang","given":"L"},{"family":"Pan","given":"L"},{"family":"Cui","given":"Y"},{"family":"Zhang","given":"J"}],"issued":{"date-parts":[["2023"]]}}},{"id":1570,"uris":["http://zotero.org/users/local/L5HAWlIW/items/V3SBX9HI"],"itemData":{"id":1570,"type":"article-journal","container-title":"British Journal of Anaesthesia","DOI":"10.1016/j.bja.2023.08.007","ISSN":"00070912","issue":"5","journalAbbreviation":"British Journal of Anaesthesia","language":"en","page":"955-965","source":"DOI.org (Crossref)","title":"Effect of driving pressure-guided positive end-expiratory pressure on postoperative pulmonary complications in patients undergoing laparoscopic or robotic surgery: a randomised controlled trial","title-short":"Effect of driving pressure-guided positive end-expiratory pressure on postoperative pulmonary complications in patients undergoing laparoscopic or robotic surgery","volume":"131","author":[{"family":"Kim","given":"Yoon Jung"},{"family":"Kim","given":"Bo Rim"},{"family":"Kim","given":"Hee Won"},{"family":"Jung","given":"Ji-Yoon"},{"family":"Cho","given":"Hye-Yeon"},{"family":"Seo","given":"Jeoung-Hwa"},{"family":"Kim","given":"Won Ho"},{"family":"Kim","given":"Hee-Soo"},{"family":"Hwangbo","given":"Suhyun"},{"family":"Yoon","given":"Hyun-Kyu"}],"issued":{"date-parts":[["2023",11]]}}},{"id":1518,"uris":["http://zotero.org/users/local/L5HAWlIW/items/RBGIT4XK"],"itemData":{"id":1518,"type":"article-journal","abstract":"Abstract\n            \n              The study aimed to investigate the efficacy of PCV-VG combined with individual PEEP during laparoscopic surgery in the Trendelenburg position. 120 patients were randomly divided into four groups: VF group (VCV plus 5cmH\n              2\n              O PEEP), PF group (PCV-VG plus 5cmH\n              2\n              O PEEP), VI group (VCV plus individual PEEP), and PI group (PCV-VG plus individual PEEP).\n              P\n              mean\n              ,\n              P\n              peak\n              , Cdyn, PaO\n              2\n              /FiO\n              2\n              ,\n              V\n              D\n              /V\n              T\n              , A-aDO\n              2\n              and Qs/Qt were recorded at T\n              1\n              (15 min after the induction of anesthesia), T\n              2\n              (60 min after pneumoperitoneum), and T\n              3\n              (5 min at the end of anesthesia). The CC16 and IL-6 were measured at T\n              1\n              and T\n              3\n              . Our results showed that the\n              P\n              mean\n              was increased in VI and PI group, and the\n              P\n              peak\n              was lower in PI group at T\n              2\n              . At T\n              2\n              and T\n              3\n              , the Cdyn of PI group was higher than that in other groups, and PaO\n              2\n              /FiO\n              2\n              was increased in PI group compared with VF and VI group. At T\n              2\n              and T\n              3\n              , A-aDO\n              2\n              of PI and PF group was reduced than that in other groups. The Qs/Qt was decreased in PI group compared with VF and VI group at T\n              2\n              and T\n              3\n              . At T\n              2\n              ,\n              V\n              D\n              /V\n              T\n              in PI group was decreased than other groups. At T\n              3\n              , the concentration of CC16 in PI group was lower compared with other groups, and IL-6 level of PI group was decreased than that in VF and VI group. In conclusion, the patients who underwent laparoscopic surgery, PCV-VG combined with individual PEEP produced favorable lung mechanics and oxygenation, and thus reducing inflammatory response and lung injury.\n            \n            \n              Clinical Trial registry\n              : chictr.org. identifier: ChiCTR-2100044928","container-title":"Journal of Clinical Monitoring and Computing","DOI":"10.1007/s10877-021-00750-9","ISSN":"1387-1307, 1573-2614","issue":"4","journalAbbreviation":"J Clin Monit Comput","language":"en","page":"1155-1164","source":"DOI.org (Crossref)","title":"Effect of pressure-controlled ventilation-volume guaranteed mode combined with individualized positive end-expiratory pressure on respiratory mechanics, oxygenation and lung injury in patients undergoing laparoscopic surgery in Trendelenburg position","volume":"36","author":[{"family":"Li","given":"Jianli"},{"family":"Ma","given":"Saixian"},{"family":"Chang","given":"Xiujie"},{"family":"Ju","given":"Songxu"},{"family":"Zhang","given":"Meng"},{"family":"Yu","given":"Dongdong"},{"family":"Rong","given":"Junfang"}],"issued":{"date-parts":[["2022",8]]}}},{"id":1577,"uris":["http://zotero.org/users/local/L5HAWlIW/items/2Q6YJM6C"],"itemData":{"id":1577,"type":"article-journal","abstract":"BACKGROUND: Individualized positive end‐expiratory pressure (PEEP) guided by dynamic compliance improves oxygenation and reduces postoperative atelectasis in nonobese patients. The authors hypothesized that dynamic compliance‐guided PEEP could also reduce postoperative atelectasis in patients undergoing bariatric surgery. METHODS: Patients scheduled to undergo laparoscopic bariatric surgery were eligible. Dynamic compliance‐guided PEEP titration was conducted in all patients using a downward approach. A recruitment maneuver (PEEP from 10 to 25 cm H2O at 5‐cm H2O step every 30 s, with 15‐cm H2O driving pressure) was conducted both before and after the titration. Patients were then randomized (1:1) to undergo surgery under dynamic compliance‐guided PEEP (PEEP with highest dynamic compliance plus 2 cm H2O) or PEEP of 8 cm H2O. The primary outcome was postoperative atelectasis, as assessed with computed tomography at 60 to 90 min after extubation, and expressed as percentage to total lung tissue volume. Secondary outcomes included Pao2/inspiratory oxygen fraction (Fio2) and postoperative pulmonary complications. RESULTS: Forty patients (mean ± SD; 28 ± 7 yr of age; 25 females; average body mass index, 41.0 ± 4.7 kg/m2) were enrolled. Median PEEP with highest dynamic compliance during titration was 15 cm H2O (interquartile range, 13 to 17; range, 8 to 19) in the entire sample of 40 patients. The primary outcome of postoperative atelectasis (available in 19 patients in each group) was 13.1 ± 5.3% and 9.5 ± 4.3% in the PEEP of 8 cm H2O and dynamic compliance‐guided PEEP groups, respectively (intergroup difference, 3.7%; 95% CI, 0.5 to 6.8%; P = 0.025). Pao2/Fio2 at 1 h after pneumoperitoneum was higher in the dynamic compliance‐guided PEEP group (397 vs. 337 mmHg; group difference, 60; 95% CI, 9 to 111; P = 0.017) but did not differ between the two groups 30 min after extubation (359 vs. 375 mmHg; group difference, ‐17; 95% CI, ‐53 to 21; P = 0.183). The incidence of postoperative pulmonary complications was 4 of 20 in both groups. CONCLUSIONS: Postoperative atelectasis was lower in patients undergoing laparoscopic bariatric surgery under dynamic compliance‐guided PEEP versus PEEP of 8 cm H2O. Postoperative Pao2/Fio2 did not differ between the two groups.","archive_location":"CN-02581757","container-title":"Anesthesiology","DOI":"10.1097/ALN.0000000000004603","issue":"3","journalAbbreviation":"Anesthesiology","page":"262‐273","title":"Individualized Positive End-expiratory Pressure on Postoperative Atelectasis in Patients with Obesity: a Randomized Controlled Clinical Trial","volume":"139","author":[{"family":"Li","given":"X"},{"family":"Liu","given":"H"},{"family":"Wang","given":"J"},{"family":"Ni","given":"ZL"},{"family":"Liu","given":"ZX"},{"family":"Jiao","given":"JL"},{"family":"Han","given":"Y"},{"family":"Cao","given":"JL"}],"issued":{"date-parts":[["2023"]]}}},{"id":1568,"uris":["http://zotero.org/users/local/L5HAWlIW/items/5DJWX5NC"],"itemData":{"id":1568,"type":"article-journal","abstract":"Abstract\n            \n              Objective\n              To evaluate the effect of the individualized positive end-expiratory pressure (PEEP) lung protection ventilation strategy by combining driving pressure (ΔP) and pulmonary ultrasound (LUS)-based titration on lung function and postoperative cognitive function in patients with chronic obstructive pulmonary disease (COPD) during laparoscopic surgery.\n            \n            \n              Methods\n              \n                A total of 108 patients with COPD undergoing laparoscopic gastrointestinal surgery under general anesthesia were included in this study. They were randomly divided into three groups (n = 36): traditional volume ventilation group (Group C), fixed PEEP 5 cmH\n                2\n                O group (Group P), and ΔP combined with LUS-based PEEP titration in the resuscitation room group (Group T). All three groups were given volume ventilation mode, I:E = 1:2; In group C, VT was 10 mL/kg and PEEP was 0 cmH\n                2\n                O; In groups P and T, VT was 6 mL/kg and PEEP was 5 cmH\n                2\n                O; After mechanical ventilation for 15 min in Group T, ΔP in combination with LUS was used to titrate PEEP. The oxygenation index (PaO2/FiO2), airway platform pressure (Pplat), dynamic lung compliance (Cdyn), Montreal Cognitive Assessment (MoCA), and venous interleukin-6(IL-6) were recorded at the corresponding time points, and the final PEEP value in Group T was recorded.\n              \n            \n            \n              Results\n              \n                The final PEEP value of Group T was (6.4 ± 1.2) cmH\n                2\n                O; Compared with groups C and P: PaO\n                2\n                /FiO\n                2\n                and Cdyn in Group T were significantly increased (\n                P\n                 &lt; 0.05) and value of IL-6 was significantly decreased (\n                P\n                 &lt; 0.05) at the corresponding time points. Compared with group C, the MoCA score on day 7 after surgery in Group T was significantly higher (\n                P\n                 &lt; 0.05).\n              \n            \n            \n              Conclusion\n              Compared with the traditional ventilation strategy, the individualized ΔP combined with LUS-based PEEP titration in patients with COPD during the perioperative period of laparoscopic surgery can play a better role in lung protection and can improve postoperative cognitive function.","container-title":"BMC Pulmonary Medicine","DOI":"10.1186/s12890-023-02471-y","ISSN":"1471-2466","issue":"1","journalAbbreviation":"BMC Pulm Med","language":"en","page":"232","source":"DOI.org (Crossref)","title":"Effect of individualized PEEP titration by ultrasonography on perioperative pulmonary protection and postoperative cognitive function in patients with chronic obstructive pulmonary disease","volume":"23","author":[{"family":"Luo","given":"Lai-feng"},{"family":"Lin","given":"Yu-mei"},{"family":"Liu","given":"Ying"},{"family":"Gao","given":"Xiao-hua"},{"family":"Li","given":"Chui-yu"},{"family":"Zhang","given":"Xiao-qi"},{"family":"Wu","given":"Jian-hua"},{"family":"Chen","given":"Zhi-yuan"}],"issued":{"date-parts":[["2023",6,28]]}}},{"id":22,"uris":["http://zotero.org/users/local/L5HAWlIW/items/J95XU98Y"],"itemData":{"id":22,"type":"article-journal","container-title":"Surgery","DOI":"10.1016/j.surg.2021.01.047","ISSN":"00396060","issue":"1","journalAbbreviation":"Surgery","language":"en","note":"number: 1","page":"277-283","source":"DOI.org (Crossref)","title":"Effect of driving pressure-guided positive end-expiratory pressure (PEEP) titration on postoperative lung atelectasis in adult patients undergoing elective major abdominal surgery: A randomized controlled trial","title-short":"Effect of driving pressure-guided positive end-expiratory pressure (PEEP) titration on postoperative lung atelectasis in adult patients undergoing elective major abdominal surgery","volume":"170","author":[{"family":"Mini","given":"Gouri"},{"family":"Ray","given":"Bikash R."},{"family":"Anand","given":"Rahul K."},{"family":"Muthiah","given":"Thilaka"},{"family":"Baidya","given":"Dalim K."},{"family":"Rewari","given":"Vimi"},{"family":"Sahni","given":"Peush"},{"family":"Maitra","given":"Souvik"}],"issued":{"date-parts":[["2021",7]]}}},{"id":1667,"uris":["http://zotero.org/users/local/L5HAWlIW/items/C4CXU7ZP"],"itemData":{"id":1667,"type":"article-journal","abstract":"Objective To investigate the effect of individualized positive end expiratory pressure (PEEP) setting guided by chest electrical impedance tomography (EIT) on the incidence of hypoxemia in elderly patients undergoing robot‑assisted radical prostatectomy in the post anesthesia care unit (PACU). Methods From September 2020 to October 2021, sixty elderly patients, with the American Association of Anesthesiologists (ASA) of Grade Ⅰ to Ⅲ, who underwent selective robot‑assisted radical prostatectomy under general anesthesia in the Cancer Hospital Affiliated to Fudan University were selected. The participants were divided into two groups by the minimum randomized grouping method: EIT‑PEEP group (EP group, n=30) and fixed PEEP group (FP group, n=30). After completion of tracheal intubation and establishment of pneumoperitoneum flexion posture, the individualized PEEP setting was guided by EIT in EP group, and the PEEP setting in FP group was 5 cmH2O (1 cmH2O=0.098 kPa) to the end of operation. During the operation, the ventilation mode of pressure regulation volume control was adopted. The driving pressure, dynamic lung compliance (Cdyn), oxygenation index and hemodynamics were recorded at 5 min (T1), 30 min (T2), 60 min (T3) after PEEP setting and at the time of tracheal catheter removal (T4) in both groups. The primary end point was the incidence of hypoxemia in PACU after extubation. Results The incidence of hypoxemia after extubation was 3.3% (1/30) in EP group and 26.7% (8/ 30) in FP group (P=0.030). The difference of driving pressure between the two groups at T2 [(13.1± 2.4) cmH2O vs (14.9±2.9) cmH2O, P=0.012], T3 [(12.7±2.4) cmH2O vs (15.6±2.8) cmH2O, P&lt;0.001] was statistically significant. In EP group, Cdyn was improved at T2 [(38.4±7.2) ml/cmH2O vs (31.9±5.2) ml/cmH2O, P=0.006] and T3 [(37.5</w:instrText>
      </w:r>
      <w:r w:rsidR="001D19FE">
        <w:rPr>
          <w:rFonts w:cs="Times New Roman"/>
          <w:lang w:val="en-US"/>
        </w:rPr>
        <w:instrText>��</w:instrText>
      </w:r>
      <w:r w:rsidR="001D19FE">
        <w:rPr>
          <w:lang w:val="en-US"/>
        </w:rPr>
        <w:instrText xml:space="preserve">9.0) ml/cmH2O vs (30.4±5.9) ml/cmH2O, P=0.001]. In EP group, PaO2/FiO2 increased at T1 [(465.7±84.5) mmHg vs (383.5±58.0) mmHg, 1 mmHg=0.133 kPa, P&lt; 0.001], T2 [(504.7±105.8) mmHg vs (418.9±73.7) mmHg, P=0.001], T3 [(520.7±92.2) mmHg vs (423.2±90.7) mmHg, P&lt;0.001], T4 [(368.7±42.0) mmHg vs (339.5±54.9) mmHg, P=0.024]. Conclusion The individualized PEEP setting guided by EIT can reduce the incidence of hypoxemia in elderly patients undergoing robot assisted radical prostatectomy in PACU.","archive_location":"CN-02613242","container-title":"Zhonghua yi xue za zhi","DOI":"10.3760/cma.j.cn112137-20220415-00818","issue":"47","journalAbbreviation":"Zhonghua yi xue za zhi","page":"3727‐3733","title":"Effect of EIT-guided individualized PEEP setting on the incidence of hypoxemia in elderly patients undergoing robot-assisted radical prostatectomy","volume":"102","author":[{"family":"Pan","given":"LL"},{"family":"Gao","given":"LL"},{"family":"Yang","given":"L"},{"family":"Pan","given":"CX"},{"family":"Yin","given":"YH"},{"family":"Zhu","given":"Y"},{"family":"Zhang","given":"J"}],"issued":{"date-parts":[["2022"]]}}},{"id":168,"uris":["http://zotero.org/users/local/L5HAWlIW/items/67NQ5YJS"],"itemData":{"id":168,"type":"article-journal","abstract":"BACKGROUND The creation of pneumoperitoneum during laparoscopic surgery can lead to adverse effects on the respiratory system. Positive end-expiratory pressure (PEEP) plays an important role in mechanical ventilation during laparoscopic surgery. OBJECTIVE To evaluate whether PEEP setting guided by oesophageal pressure (Poeso) measurement would affect oxygenation and respiratory mechanics during laparoscopic gynaecological surgery. DESIGN A randomised controlled study. SETTING A single-centre trial from March 2018 to June 2018. PATIENTS Forty-four adult patients undergoing laparoscopic gynaecological surgery with anticipated duration of surgery more than 2 h. INTERVENTION PEEP set according to Poeso measurement (intervention group) versus PEEP constantly set at 5 cmH2O (control group). MAIN OUTCOME MEASURES Gas exchange and respiratory mechanics after induction and intubation (T0) and at 15 and 60 min after initiation of pneumoperitoneum (T1 and T2, respectively). RESULTS PEEP during pneumoperitoneum was significantly higher in the intervention group than in the control group (T1, 12.5 ± 1.9 vs. 5.0 ± 0.0 cmH2O and T2, 12.4 ± 1.9 vs. 5.0 ± 0.0 cmH2O, both P &lt; 0.001). Partial pressures of oxygen decreased significantly from baseline during pneumoperitoneum in the control group but not in the intervention group. Nevertheless, the changes in partial pressures of oxygen did not differ between groups. Compliance of the respiratory system (CRS) significantly decreased and driving pressure significantly increased during pneumoperitoneum in both groups. However, the changes in CRS and driving pressure were significantly less in the intervention group. Transpulmonary pressure during expiration was maintained in the intervention group while it decreased significantly in the control group. CONCLUSION PEEP setting guided by Poeso measurement showed no beneficial effects in terms of oxygenation but respiratory mechanics were better during laparoscopic gynaecological surgery. TRIAL REGISTRATION ClinicalTrials.gov identifier: NCT03256396.","container-title":"European journal of anaesthesiology","DOI":"10.1097/eja.0000000000001204","issue":"11","note":"publisher: Wolters Kluwer Health","page":"1032-1039","title":"Effects of intra-operative positive end-expiratory pressure setting guided by oesophageal pressure measurement on oxygenation and respiratory mechanics during laparoscopic gynaecological surgery: A randomised controlled trial.","volume":"37","author":[{"family":"Piriyapatsom","given":"Annop; Phetkampang","suffix":"Sanchai"}],"issued":{"date-parts":[["2020"]]}}},{"id":1566,"uris":["http://zotero.org/users/local/L5HAWlIW/items/5KHQPKBX"],"itemData":{"id":1566,"type":"article-journal","container-title":"Egyptian Journal of Anaesthesia","DOI":"10.1080/11101849.2023.2230050","ISSN":"1110-1849","issue":"1","journalAbbreviation":"Egyptian Journal of Anaesthesia","language":"en","page":"496-501","source":"DOI.org (Crossref)","title":"Effect of individualized intraoperative lung recruitment maneuver on postoperative pulmonary complications in patients undergoing upper abdominal surgeries under general anesthesia","volume":"39","author":[{"family":"Mohammad Salama","given":"Mohammad Elhossieny"},{"family":"El-Taher","given":"Ezzat Mohamed"},{"family":"Abdel-Rahman Al-Touny","given":"Ahmad Hamed"},{"family":"Ismail","given":"Reda Aboelmagd"},{"family":"Abdel-Ghaffar","given":"Mohamed Emad Eldin"}],"issued":{"date-parts":[["2023",12,31]]}}},{"id":28,"uris":["http://zotero.org/users/local/L5HAWlIW/items/BBD2PA7M"],"itemData":{"id":28,"type":"article-journal","container-title":"Obesity Surgery","DOI":"10.1007/s11695-018-03662-x","ISSN":"0960-8923, 1708-0428","issue":"4","journalAbbreviation":"OBES SURG","language":"en","note":"number: 4","page":"1268-1275","source":"DOI.org (Crossref)","title":"Does Lung Compliance Optimization Through PEEP Manipulations Reduce the Incidence of Postoperative Hypoxemia in Laparoscopic Bariatric Surgery? A Randomized Trial","title-short":"Does Lung Compliance Optimization Through PEEP Manipulations Reduce the Incidence of Postoperative Hypoxemia in Laparoscopic Bariatric Surgery?","volume":"29","author":[{"family":"Van Hecke","given":"Delphine"},{"family":"Bidgoli","given":"Javad S."},{"family":"Van der Linden","given":"Philippe"}],"issued":{"date-parts":[["2019",4]]}}},{"id":157,"uris":["http://zotero.org/users/local/L5HAWlIW/items/9I65CFBK"],"itemData":{"id":157,"type":"article-journal","abstract":"Background The optimal positive end-expiratory pressure (PEEP) to prevent postoperative pulmonary complications (PPCs) remains unclear. Recent evidence showed that driving pressure was closely related to PPCs. In this study, we tested the hypothesis that an individualized PEEP guided by minimum driving pressure during abdominal surgery would reduce the incidence of PPCs. Methods This single-centered, randomized controlled trial included a total of 148 patients scheduled for open upper abdominal surgery. Patients were randomly assigned to receive an individualized PEEP guided by minimum driving pressure or an empiric fixed PEEP of 6 cm H2O. The primary outcome was the incidence of clinically significant PPCs within the first 7 days after surgery, using a χ2 test. Secondary outcomes were the severity of PPCs, the area of atelectasis, and pleural effusion. Other outcomes, such as the incidence of different types of PPCs (including hypoxemia, atelectasis, pleural effusion, dyspnea, pneumonia, pneumothorax, and acute respiratory distress syndrome), intensive care unit (ICU) admission rate, length of hospital stay, and 30-day mortality were also explored. Results The median value of PEEP in the individualized group was 10 cm H2O. The incidence of clinically significant PPCs was significantly lower in the individualized PEEP group compared with that in the fixed PEEP group (26 of 67 [38.8%] vs 42 of 67 [62.7%], relative risk = 0.619, 95% confidence intervals, 0.435-0.881; P = .006). The overall severity of PPCs and the area of atelectasis were also significantly diminished in the individualized PEEP group. Higher respiratory compliance during surgery and improved intra- and postoperative oxygenation was observed in the individualized group. No significant differences were found in other outcomes between the 2 groups, such as ICU admission rate or 30-day mortality. Conclusions The application of individualized PEEP based on minimum driving pressure may effectively decrease the severity of atelectasis, improve oxygenation, and reduce the incidence of clinically significant PPCs after open upper abdominal surgery.","container-title":"Anesthesia and analgesia","DOI":"10.1213/ane.0000000000005575","issue":"5","note":"publisher: Lippincott Williams and Wilkins","page":"1197-1205","title":"Driving Pressure-Guided Individualized Positive End-Expiratory Pressure in Abdominal Surgery: A Randomized Controlled Trial.","volume":"133","author":[{"family":"Zhang","given":"Chengmi; Xu","suffix":"Fengying; Li, Weiwei; Tong, Xingyu; Xia, Ran; Wang, Wei; Du, Jianer; Shi, Xueyin"}],"issued":{"date-parts":[["2021"]]}}},{"id":157,"uris":["http://zotero.org/users/local/L5HAWlIW/items/9I65CFBK"],"itemData":{"id":157,"type":"article-journal","abstract":"Background The optimal positive end-expiratory pressure (PEEP) to prevent postoperative pulmonary complications (PPCs) remains unclear. Recent evidence showed that driving pressure was closely related to PPCs. In this study, we tested the hypothesis that an individualized PEEP guided by minimum driving pressure during abdominal surgery would reduce the incidence of PPCs. Methods This single-centered, randomized controlled trial included a total of 148 patients scheduled for open upper abdominal surgery. Patients were randomly assigned to receive an individualized PEEP guided by minimum driving pressure or an empiric fixed PEEP of 6 cm H2O. The primary outcome was the incidence of clinically significant PPCs within the first 7 days after surgery, using a χ2 test. Secondary outcomes were the severity of PPCs, the area of atelectasis, and pleural effusion. Other outcomes, such as the incidence of different types of PPCs (including hypoxemia, atelectasis, pleural effusion, dyspnea, pneumonia, pneumothorax, and acute respiratory distress syndrome), intensive care unit (ICU) admission rate, length of hospital stay, and 30-day mortality were also explored. Results The median value of PEEP in the individualized group was 10 cm H2O. The incidence of clinically significant PPCs was significantly lower in the individualized PEEP group compared with that in the fixed PEEP group (26 of 67 [38.8%] vs 42 of 67 [62.7%], relative risk = 0.619, 95% confidence intervals, 0.435-0.881; P = .006). The overall severity of PPCs and the area of atelectasis were also significantly diminished in the individualized PEEP group. Higher respiratory compliance during surgery and improved intra- and postoperative oxygenation was observed in the individualized group. No significant differences were found in other outcomes between the 2 groups, such as ICU admission rate or 30-day mortality. Conclusions The application of individualized PEEP based on minimum driving pressure may effectively decrease the severity of atelectasis, improve oxygenation, and reduce the incidence of clinically significant PPCs after open upper abdominal surgery.","container-title":"Anesthesia and analgesia","DOI":"10.1213/ane.0000000000005575","issue":"5","note":"publisher: Lippincott Williams and Wilkins","page":"1197-1205","title":"Driving Pressure-Guided Individualized Positive End-Expiratory Pressure in Abdominal Surgery: A Randomized Controlled Trial.","volume":"133","author":[{"family":"Zhang","given":"Chengmi; Xu","suffix":"Fengying; Li, Weiwei; Tong, Xingyu; Xia, Ran; Wang, Wei; Du, Jianer; Shi, Xueyin"}],"issued":{"date-parts":[["2021"]]}}},{"id":1562,"uris":["http://zotero.org/users/local/L5HAWlIW/items/ANKXGAEQ"],"itemData":{"id":1562,"type":"article-journal","abstract":"Background\n              Electrical impedance tomography (EIT) has been shown to be useful in guiding individual positive end-expiratory pressure titration for patients with mechanical ventilation. However, the appropriate positive end-expiratory pressure (PEEP) level and whether the individualized PEEP needs to be adjusted during long-term surgery (&amp;gt;6 h) were unknown. Meanwhile, the effect of individualized PEEP on the distribution of pulmonary ventilation in patients who receive abdominal thermoperfusion chemotherapy is unknown. The primary aim of this study was to observe the effect of EIT-guided PEEP on the distribution of pulmonary ventilation in patients undergoing cytoreductive surgery (CRS) combined with hot intraperitoneal chemotherapy (HIPEC). The secondary aim was to analyze their effect on postoperative pulmonary complications.\n            \n            \n              Methods\n              \n                A total of 48 patients were recruited and randomly divided into two groups, with 24 patients in each group. For the control group (group A), PEEP was set at 5 cm H\n                2\n                O, while in the EIT group (group B), individual PEEP was titrated and adjusted every 2 h with EIT guidance. Ventilation distribution, respiratory/circulation parameters, and PPC incidence were compared between the two groups.\n              \n            \n            \n              Results\n              \n                The average individualized PEEP was 10.3 ± 1.5 cm H\n                2\n                O, 10.2 ± 1.6 cm H\n                2\n                O, 10.1 ± 1.8 cm H\n                2\n                O, and 9.7 ± 2.1 cm H\n                2\n                O at 5 min, 2 h, 4 h, and 6 h after tracheal intubation during CRS + HIPEC. Individualized PEEP was correlated with ventilation distribution in the regions of interest (ROI) 1 and ROI 3 at 4 h mechanical ventilation and ROI 1 at 6 h mechanical ventilation. The ventilation distribution under individualized PEEP was back-shifted for 6 h but moved to the control group’s ventral side under PEEP 5 cm H\n                2\n                O. The respiratory and circulatory function indicators were both acceptable either under individualized PEEP or PEEP 5 cm H\n                2\n                O. The incidence of total PPCs was significantly lower under individualized PEEP (66.7%) than PEEP 5 cm H\n                2\n                O (37.5%) for patients with CRS + HIPEC.\n              \n            \n            \n              Conclusion\n              \n                The appropriate individualized PEEP was stable at approximately 10 cm H\n                2\n                O during 6 h for patients with CRS + HIPEC, along with better ventilation distribution and a lower total PPC incidence than the fixed PEEP of 5 cm H\n                2\n                O.\n              \n              \n                Clinical trial registration:\n                identifier ChiCTR1900023897.","container-title":"Frontiers in Medicine","DOI":"10.3389/fmed.2023.1198720","ISSN":"2296-858X","journalAbbreviation":"Front. Med.","page":"1198720.","source":"DOI.org (Crossref)","title":"Effect of individualized positive end-expiratory pressure based on electrical impedance tomography guidance on pulmonary ventilation distribution in patients who receive abdominal thermal perfusion chemotherapy","volume":"10","author":[{"family":"Xiao","given":"Li"},{"family":"Yu","given":"Kang"},{"family":"Yang","given":"Jiao-Jiao"},{"family":"Liu","given":"Wen-Tao"},{"family":"Liu","given":"Lei"},{"family":"Miao","given":"Hui-Hui"},{"family":"Li","given":"Tian-Zuo"}],"issued":{"date-parts":[["2023",9,5]]}}}],"schema":"https://github.com/citation-style-language/schema/raw/master/csl-citation.json"} </w:instrText>
      </w:r>
      <w:r w:rsidR="00754BDC" w:rsidRPr="00483D15">
        <w:rPr>
          <w:lang w:val="en-US"/>
        </w:rPr>
        <w:fldChar w:fldCharType="separate"/>
      </w:r>
      <w:r w:rsidR="001D19FE" w:rsidRPr="001D19FE">
        <w:rPr>
          <w:rFonts w:cs="Times New Roman"/>
          <w:kern w:val="0"/>
        </w:rPr>
        <w:t>[1,6,14,15,47,49–54,56–61,64,64,67]</w:t>
      </w:r>
      <w:r w:rsidR="00754BDC" w:rsidRPr="00483D15">
        <w:rPr>
          <w:lang w:val="en-US"/>
        </w:rPr>
        <w:fldChar w:fldCharType="end"/>
      </w:r>
      <w:r w:rsidRPr="00483D15">
        <w:rPr>
          <w:lang w:val="en-US"/>
        </w:rPr>
        <w:t xml:space="preserve"> at the end of surgery suggested an increase in dynamic compliance, though it did not reach statistical significance (Cdyn: MD = 3.26 mL/cm H</w:t>
      </w:r>
      <w:r w:rsidRPr="0046796C">
        <w:rPr>
          <w:vertAlign w:val="subscript"/>
          <w:lang w:val="en-US"/>
        </w:rPr>
        <w:t>2</w:t>
      </w:r>
      <w:r w:rsidRPr="00483D15">
        <w:rPr>
          <w:lang w:val="en-US"/>
        </w:rPr>
        <w:t>O, 95% CI: −0.08 to 6.61, I² = 96%, p = 0.055). However, the increase in static compliance was statistically significant (Cstat: MD = 11.92 mL/cm H</w:t>
      </w:r>
      <w:r w:rsidRPr="0046796C">
        <w:rPr>
          <w:vertAlign w:val="subscript"/>
          <w:lang w:val="en-US"/>
        </w:rPr>
        <w:t>2</w:t>
      </w:r>
      <w:r w:rsidRPr="00483D15">
        <w:rPr>
          <w:lang w:val="en-US"/>
        </w:rPr>
        <w:t>O, 95% CI: 6.40 to 17.45, I² = 85%, p &lt; 0.001) (</w:t>
      </w:r>
      <w:r w:rsidR="00E0129C">
        <w:rPr>
          <w:lang w:val="en-US"/>
        </w:rPr>
        <w:fldChar w:fldCharType="begin"/>
      </w:r>
      <w:r w:rsidR="00E0129C">
        <w:rPr>
          <w:lang w:val="en-US"/>
        </w:rPr>
        <w:instrText xml:space="preserve"> REF _Ref204003291 \h </w:instrText>
      </w:r>
      <w:r w:rsidR="00E0129C">
        <w:rPr>
          <w:lang w:val="en-US"/>
        </w:rPr>
      </w:r>
      <w:r w:rsidR="00E0129C">
        <w:rPr>
          <w:lang w:val="en-US"/>
        </w:rPr>
        <w:fldChar w:fldCharType="separate"/>
      </w:r>
      <w:proofErr w:type="spellStart"/>
      <w:r w:rsidR="007F7DB3">
        <w:t>Figure</w:t>
      </w:r>
      <w:proofErr w:type="spellEnd"/>
      <w:r w:rsidR="007F7DB3">
        <w:t xml:space="preserve"> </w:t>
      </w:r>
      <w:r w:rsidR="007F7DB3">
        <w:rPr>
          <w:noProof/>
        </w:rPr>
        <w:t>7</w:t>
      </w:r>
      <w:r w:rsidR="00E0129C">
        <w:rPr>
          <w:lang w:val="en-US"/>
        </w:rPr>
        <w:fldChar w:fldCharType="end"/>
      </w:r>
      <w:r w:rsidR="00E0129C">
        <w:rPr>
          <w:lang w:val="en-US"/>
        </w:rPr>
        <w:t xml:space="preserve"> and </w:t>
      </w:r>
      <w:r w:rsidR="00E0129C">
        <w:rPr>
          <w:lang w:val="en-US"/>
        </w:rPr>
        <w:fldChar w:fldCharType="begin"/>
      </w:r>
      <w:r w:rsidR="00E0129C">
        <w:rPr>
          <w:lang w:val="en-US"/>
        </w:rPr>
        <w:instrText xml:space="preserve"> REF _Ref204003294 \h </w:instrText>
      </w:r>
      <w:r w:rsidR="00E0129C">
        <w:rPr>
          <w:lang w:val="en-US"/>
        </w:rPr>
      </w:r>
      <w:r w:rsidR="00E0129C">
        <w:rPr>
          <w:lang w:val="en-US"/>
        </w:rPr>
        <w:fldChar w:fldCharType="separate"/>
      </w:r>
      <w:proofErr w:type="spellStart"/>
      <w:r w:rsidR="007F7DB3">
        <w:t>Figure</w:t>
      </w:r>
      <w:proofErr w:type="spellEnd"/>
      <w:r w:rsidR="007F7DB3">
        <w:t xml:space="preserve"> </w:t>
      </w:r>
      <w:r w:rsidR="007F7DB3">
        <w:rPr>
          <w:noProof/>
        </w:rPr>
        <w:t>8</w:t>
      </w:r>
      <w:r w:rsidR="00E0129C">
        <w:rPr>
          <w:lang w:val="en-US"/>
        </w:rPr>
        <w:fldChar w:fldCharType="end"/>
      </w:r>
      <w:r w:rsidRPr="00483D15">
        <w:rPr>
          <w:lang w:val="en-US"/>
        </w:rPr>
        <w:t>).</w:t>
      </w:r>
    </w:p>
    <w:p w14:paraId="3E795584" w14:textId="77777777" w:rsidR="00080072" w:rsidRDefault="00245C1E" w:rsidP="00080072">
      <w:pPr>
        <w:keepNext/>
      </w:pPr>
      <w:r w:rsidRPr="00483D15">
        <w:rPr>
          <w:noProof/>
          <w:lang w:val="en-US"/>
        </w:rPr>
        <w:drawing>
          <wp:inline distT="0" distB="0" distL="0" distR="0" wp14:anchorId="1F589C69" wp14:editId="3706B41B">
            <wp:extent cx="4144240" cy="4420554"/>
            <wp:effectExtent l="19050" t="19050" r="27940" b="18415"/>
            <wp:docPr id="1623127175" name="Kép 4" descr="A képen szöveg, képernyőkép, Betűtípus, szám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127175" name="Kép 4" descr="A képen szöveg, képernyőkép, Betűtípus, szám látható&#10;&#10;Előfordulhat, hogy a mesterséges intelligencia által létrehozott tartalom helytel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4240" cy="4420554"/>
                    </a:xfrm>
                    <a:prstGeom prst="rect">
                      <a:avLst/>
                    </a:prstGeom>
                    <a:noFill/>
                    <a:ln>
                      <a:solidFill>
                        <a:schemeClr val="tx1"/>
                      </a:solidFill>
                    </a:ln>
                  </pic:spPr>
                </pic:pic>
              </a:graphicData>
            </a:graphic>
          </wp:inline>
        </w:drawing>
      </w:r>
    </w:p>
    <w:p w14:paraId="03877044" w14:textId="51971B72" w:rsidR="00245C1E" w:rsidRPr="00483D15" w:rsidRDefault="00080072" w:rsidP="00080072">
      <w:pPr>
        <w:pStyle w:val="Caption"/>
        <w:rPr>
          <w:lang w:val="en-US"/>
        </w:rPr>
      </w:pPr>
      <w:bookmarkStart w:id="42" w:name="_Ref204003291"/>
      <w:bookmarkStart w:id="43" w:name="_Toc204637060"/>
      <w:proofErr w:type="spellStart"/>
      <w:r>
        <w:t>Figure</w:t>
      </w:r>
      <w:proofErr w:type="spellEnd"/>
      <w:r>
        <w:t xml:space="preserve"> </w:t>
      </w:r>
      <w:fldSimple w:instr=" SEQ Figure \* ARABIC ">
        <w:r w:rsidR="007F7DB3">
          <w:rPr>
            <w:noProof/>
          </w:rPr>
          <w:t>7</w:t>
        </w:r>
      </w:fldSimple>
      <w:bookmarkEnd w:id="42"/>
      <w:r>
        <w:t xml:space="preserve"> - </w:t>
      </w:r>
      <w:r w:rsidRPr="00084570">
        <w:t xml:space="preserve">Forest </w:t>
      </w:r>
      <w:proofErr w:type="spellStart"/>
      <w:r w:rsidRPr="00084570">
        <w:t>plot</w:t>
      </w:r>
      <w:proofErr w:type="spellEnd"/>
      <w:r w:rsidRPr="00084570">
        <w:t xml:space="preserve"> of </w:t>
      </w:r>
      <w:proofErr w:type="spellStart"/>
      <w:r w:rsidRPr="00084570">
        <w:t>mean</w:t>
      </w:r>
      <w:proofErr w:type="spellEnd"/>
      <w:r w:rsidRPr="00084570">
        <w:t xml:space="preserve"> </w:t>
      </w:r>
      <w:proofErr w:type="spellStart"/>
      <w:r w:rsidRPr="00084570">
        <w:t>differences</w:t>
      </w:r>
      <w:proofErr w:type="spellEnd"/>
      <w:r w:rsidRPr="00084570">
        <w:t xml:space="preserve"> in </w:t>
      </w:r>
      <w:proofErr w:type="spellStart"/>
      <w:r w:rsidRPr="00084570">
        <w:t>dynamic</w:t>
      </w:r>
      <w:proofErr w:type="spellEnd"/>
      <w:r w:rsidRPr="00084570">
        <w:t xml:space="preserve"> </w:t>
      </w:r>
      <w:proofErr w:type="spellStart"/>
      <w:r w:rsidRPr="00084570">
        <w:t>compliance</w:t>
      </w:r>
      <w:proofErr w:type="spellEnd"/>
      <w:r w:rsidRPr="00084570">
        <w:t xml:space="preserve"> (</w:t>
      </w:r>
      <w:proofErr w:type="spellStart"/>
      <w:r w:rsidRPr="00084570">
        <w:t>Cdyn</w:t>
      </w:r>
      <w:proofErr w:type="spellEnd"/>
      <w:r w:rsidRPr="00084570">
        <w:t xml:space="preserve">) </w:t>
      </w:r>
      <w:proofErr w:type="spellStart"/>
      <w:r w:rsidRPr="00084570">
        <w:t>between</w:t>
      </w:r>
      <w:proofErr w:type="spellEnd"/>
      <w:r w:rsidRPr="00084570">
        <w:t xml:space="preserve"> </w:t>
      </w:r>
      <w:proofErr w:type="spellStart"/>
      <w:r w:rsidRPr="00084570">
        <w:t>groups</w:t>
      </w:r>
      <w:proofErr w:type="spellEnd"/>
      <w:r w:rsidRPr="00084570">
        <w:t>.</w:t>
      </w:r>
      <w:bookmarkEnd w:id="43"/>
    </w:p>
    <w:p w14:paraId="731CB45B" w14:textId="77777777" w:rsidR="008442A2" w:rsidRDefault="00245C1E" w:rsidP="008442A2">
      <w:pPr>
        <w:keepNext/>
      </w:pPr>
      <w:r w:rsidRPr="00483D15">
        <w:rPr>
          <w:noProof/>
          <w:lang w:val="en-US"/>
        </w:rPr>
        <w:lastRenderedPageBreak/>
        <w:drawing>
          <wp:inline distT="0" distB="0" distL="0" distR="0" wp14:anchorId="2B457077" wp14:editId="2A2A49C3">
            <wp:extent cx="5400040" cy="5039995"/>
            <wp:effectExtent l="19050" t="19050" r="10160" b="27305"/>
            <wp:docPr id="1164012032" name="Kép 5" descr="A képen szöveg, Betűtípus, képernyőkép, szám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012032" name="Kép 5" descr="A képen szöveg, Betűtípus, képernyőkép, szám látható&#10;&#10;Előfordulhat, hogy a mesterséges intelligencia által létrehozott tartalom helytel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5039995"/>
                    </a:xfrm>
                    <a:prstGeom prst="rect">
                      <a:avLst/>
                    </a:prstGeom>
                    <a:noFill/>
                    <a:ln>
                      <a:solidFill>
                        <a:schemeClr val="tx1"/>
                      </a:solidFill>
                    </a:ln>
                  </pic:spPr>
                </pic:pic>
              </a:graphicData>
            </a:graphic>
          </wp:inline>
        </w:drawing>
      </w:r>
    </w:p>
    <w:p w14:paraId="4F9B1E77" w14:textId="14B84787" w:rsidR="00365992" w:rsidRPr="00365992" w:rsidRDefault="008442A2" w:rsidP="00DD7B56">
      <w:pPr>
        <w:pStyle w:val="Caption"/>
      </w:pPr>
      <w:bookmarkStart w:id="44" w:name="_Ref204003294"/>
      <w:bookmarkStart w:id="45" w:name="_Toc204637061"/>
      <w:proofErr w:type="spellStart"/>
      <w:r>
        <w:t>Figure</w:t>
      </w:r>
      <w:proofErr w:type="spellEnd"/>
      <w:r>
        <w:t xml:space="preserve"> </w:t>
      </w:r>
      <w:fldSimple w:instr=" SEQ Figure \* ARABIC ">
        <w:r w:rsidR="007F7DB3">
          <w:rPr>
            <w:noProof/>
          </w:rPr>
          <w:t>8</w:t>
        </w:r>
      </w:fldSimple>
      <w:bookmarkEnd w:id="44"/>
      <w:r>
        <w:t xml:space="preserve"> - </w:t>
      </w:r>
      <w:r w:rsidRPr="005D4801">
        <w:t xml:space="preserve">Forest </w:t>
      </w:r>
      <w:proofErr w:type="spellStart"/>
      <w:r w:rsidRPr="005D4801">
        <w:t>plot</w:t>
      </w:r>
      <w:proofErr w:type="spellEnd"/>
      <w:r w:rsidRPr="005D4801">
        <w:t xml:space="preserve"> of </w:t>
      </w:r>
      <w:proofErr w:type="spellStart"/>
      <w:r w:rsidRPr="005D4801">
        <w:t>mean</w:t>
      </w:r>
      <w:proofErr w:type="spellEnd"/>
      <w:r w:rsidRPr="005D4801">
        <w:t xml:space="preserve"> </w:t>
      </w:r>
      <w:proofErr w:type="spellStart"/>
      <w:r w:rsidRPr="005D4801">
        <w:t>differences</w:t>
      </w:r>
      <w:proofErr w:type="spellEnd"/>
      <w:r w:rsidRPr="005D4801">
        <w:t xml:space="preserve"> in </w:t>
      </w:r>
      <w:proofErr w:type="spellStart"/>
      <w:r w:rsidRPr="005D4801">
        <w:t>static</w:t>
      </w:r>
      <w:proofErr w:type="spellEnd"/>
      <w:r w:rsidRPr="005D4801">
        <w:t xml:space="preserve"> </w:t>
      </w:r>
      <w:proofErr w:type="spellStart"/>
      <w:r w:rsidRPr="005D4801">
        <w:t>compliance</w:t>
      </w:r>
      <w:proofErr w:type="spellEnd"/>
      <w:r w:rsidRPr="005D4801">
        <w:t xml:space="preserve"> (</w:t>
      </w:r>
      <w:proofErr w:type="spellStart"/>
      <w:r w:rsidRPr="005D4801">
        <w:t>Cstat</w:t>
      </w:r>
      <w:proofErr w:type="spellEnd"/>
      <w:r w:rsidRPr="005D4801">
        <w:t xml:space="preserve">) </w:t>
      </w:r>
      <w:proofErr w:type="spellStart"/>
      <w:r w:rsidRPr="005D4801">
        <w:t>between</w:t>
      </w:r>
      <w:proofErr w:type="spellEnd"/>
      <w:r w:rsidRPr="005D4801">
        <w:t xml:space="preserve"> </w:t>
      </w:r>
      <w:proofErr w:type="spellStart"/>
      <w:r w:rsidRPr="005D4801">
        <w:t>groups</w:t>
      </w:r>
      <w:bookmarkEnd w:id="45"/>
      <w:proofErr w:type="spellEnd"/>
    </w:p>
    <w:p w14:paraId="46364937" w14:textId="0786E879" w:rsidR="007378F5" w:rsidRDefault="007378F5" w:rsidP="0036711F">
      <w:pPr>
        <w:rPr>
          <w:lang w:val="en-US"/>
        </w:rPr>
      </w:pPr>
      <w:r w:rsidRPr="00483D15">
        <w:rPr>
          <w:lang w:val="en-US"/>
        </w:rPr>
        <w:t>Driving pressure (</w:t>
      </w:r>
      <w:proofErr w:type="spellStart"/>
      <w:r w:rsidRPr="00483D15">
        <w:rPr>
          <w:lang w:val="en-US"/>
        </w:rPr>
        <w:t>dP</w:t>
      </w:r>
      <w:proofErr w:type="spellEnd"/>
      <w:r w:rsidRPr="00483D15">
        <w:rPr>
          <w:lang w:val="en-US"/>
        </w:rPr>
        <w:t xml:space="preserve">) at the end of surgery, based on 15 studies </w:t>
      </w:r>
      <w:r w:rsidR="00A83D2C">
        <w:rPr>
          <w:lang w:val="en-US"/>
        </w:rPr>
        <w:t xml:space="preserve">including </w:t>
      </w:r>
      <w:r w:rsidRPr="00483D15">
        <w:rPr>
          <w:lang w:val="en-US"/>
        </w:rPr>
        <w:t>1,530 patients</w:t>
      </w:r>
      <w:r w:rsidR="001F3E9D">
        <w:rPr>
          <w:lang w:val="en-US"/>
        </w:rPr>
        <w:t xml:space="preserve"> </w:t>
      </w:r>
      <w:r w:rsidR="00B52617" w:rsidRPr="00483D15">
        <w:rPr>
          <w:lang w:val="en-US"/>
        </w:rPr>
        <w:fldChar w:fldCharType="begin"/>
      </w:r>
      <w:r w:rsidR="000A77A9">
        <w:rPr>
          <w:lang w:val="en-US"/>
        </w:rPr>
        <w:instrText xml:space="preserve"> ADDIN ZOTERO_ITEM CSL_CITATION {"citationID":"1JpatPNU","properties":{"formattedCitation":"[1,6,13\\uc0\\u8211{}15,17,50,52,57\\uc0\\u8211{}60,62,64,67]","plainCitation":"[1,6,13–15,17,50,52,57–60,62,64,67]","noteIndex":0},"citationItems":[{"id":147,"uris":["http://zotero.org/users/local/L5HAWlIW/items/A8UQPRVS"],"itemData":{"id":147,"type":"article-journal","abstract":"Editor’s PerspectiveWhat We Already Know about This TopicIn patients with adult respiratory distress syndrome, physiologic tidal volume and positive end-expiratory pressure (PEEP) are protectiveIn patients without lung diseases undergoing mechanical ventilation under general anesthesia, optimal PEEP","container-title":"Anesthesiology","DOI":"10.1097/aln.0000000000002435","issue":"6","note":"publisher: Lippincott Williams and Wilkins","page":"1070-1081","title":"Individual Positive End-expiratory Pressure Settings Optimize Intraoperative Mechanical Ventilation and Reduce Postoperative Atelectasis","volume":"129","author":[{"family":"Pereira","given":"Sérgio; Tucci","suffix":"Mauro R.; Morais, Caio C. A.; Simões, Claudia Marquez; Tonelotto, Bruno Francisco Freitas; Pompeo, Michel S.; Kay, Fernando Uliana; Pelosi, Paolo; Vieira, Joaquim Edson; Amato, Marcelo B. P."}],"issued":{"date-parts":[["2018"]]}}},{"id":167,"uris":["http://zotero.org/users/local/L5HAWlIW/items/53VQRNW3"],"itemData":{"id":167,"type":"article-journal","abstract":"Applying lung protective mechanical ventilation (LPV) during general anaesthesia even in patients with non-injured lungs is recommended. However, the effects of an individual PEEP-optimisation on respiratory mechanics, oxygenation and their potential correlation with the inflammatory response and postoperative complications have not been evaluated have not been compared to standard LPV in patients undergoing major abdominal surgery. Thirty-nine patients undergoing open radical cystectomy were enrolled in this study. In the study group (SG) optimal PEEP was determined by a decremental titration procedure and defined as the PEEP value resulting the highest static pulmonary compliance. In the control group (CG) PEEP was set to 6 cmH2O. Primary endpoints were intraoperative respiratory mechanics and gas exchange parameters. Secondary outcomes were perioperative procalcitonin kinetics and postoperative pulmonary complications. Optimal PEEP levels (median = 10, range: 8–14 cmH2O), PaO2/FiO2 (451.24 ± 121.78 mmHg vs. 404.15 ± 115.87 mmHg, P = 0.005) and static pulmonary compliance (52.54 ± 13.59 ml cmH2O-1 vs. 45.22 ± 9.13 ml cmH2O-1, P &lt; 0.0001) were significantly higher, while driving pressure (8.26 ± 1.74 cmH2O vs. 9.73 ± 4.02 cmH2O, P &lt; 0.0001) was significantly lower in the SG as compared to the CG. No significant intergroup differences were found in procalcitonin kinetics (P = 0.076). Composite outcome results indicated a non-significant reduction of postoperative complications in the SG. Intraoperative PEEP-optimization resulted in significant improvement in gas exchange and pulmonary mechanics as compared to standard LPV. Whether these have any effect on short and long term outcomes require further investigations. Trial registration: Clinicaltrials.gov, identifier: NCT02931409.","container-title":"Journal of clinical monitoring and computing","DOI":"10.1007/s10877-020-00519-6","issue":"3","note":"publisher: Springer Netherlands","page":"469-482","title":"Effects of intraoperative positive end-expiratory pressure optimization on respiratory mechanics and the inflammatory response: a randomized controlled trial","volume":"35","author":[{"family":"Ruszkai","given":"Zoltán; Kiss","suffix":"Erika; László, Ildikó; Bokrétás, Gergely Péter; Vizserálek, Dóra; Vámossy, Ildikó; Surány, Erika; Buzogány, István; Bajory, Zoltán; Molnár, Zsolt"}],"issued":{"date-parts":[["2020"]]}}},{"id":178,"uris":["http://zotero.org/users/local/L5HAWlIW/items/BNXF362C"],"itemData":{"id":178,"type":"article-journal","abstract":"NA","container-title":"The Lancet. Respiratory medicine","DOI":"10.1016/s2213-2600(18)30024-9","issue":"3","note":"publisher: Elsevier Limited","page":"193-203","title":"Individualised perioperative open-lung approach versus standard protective ventilation in abdominal surgery (iPROVE): a randomised controlled trial.","volume":"6","author":[{"family":"Ferrando","given":"Carlos; Soro","suffix":"Marina; Unzueta, Carmen; Suarez-Sipmann, Fernando; Canet, Jaume; Librero, Julián; Pozo, Natividad; Peiró, Salvador; Llombart, Alicia; León, Irene; India, Inmaculada; Aldecoa, Cesar; Diaz-Cambronero, Oscar; Pestaña, David; Redondo, Francisco J; Garutti, Ignacio; Balust, Jaume; García, Jose Ignacio; Ibáñez, Maite; Granell, M.; Rodríguez, Aurelio; Gallego, Lucía; de la Matta, Manuel; González, Rafael; Brunelli, Andrea; García, Javier Contreras; Rovira, Lucas; Barrios, Francisco; Torres, Vicente; Hernández, Samuel; Gracia, Estefania; Giné, Marta; Garcia, Maria; Garcia, Nuria; Miguel, Lisset; Sánchez, Sergio; Piñeiro, Patricia; Pujol, Roger; García-del-Valle, Santiago; Valdivia, José; Hernández, María; Padrón, Oto; Colás, Ana; Puig, Jaume; Azparren, Gonzalo; Tusman, Gerardo; Villar, Jesús; Belda, Javier; Acosta, Jesús; Aguilar, Gerardo; Alberola, María José; Alcón, Amalia; Alonso, Jose M.; Alonso, María Dolores; Anaya, Rafael; Argente, María Pilar; Agilaga, Marta; Arocas, Blanca; Asensio, Ana; Ayas, Begoña; Ayuso, Mercedes; Balandrón, Victor; Del Barrio, Maria; Bejarano, Natalia; Benítez, Inmaculada; Cabrera, Sergio; Carbonell, José A.; Carramiñana, Albert; Carrizo, Juan; Cegarra, Virginia; Chamorro, Estefanía; Charco, Pedro; Cruz, Patricia; Daviu, Francisco; De Fez, Mario; de Miguel, Angeles; Del Río, Elena; Delgado, Carlos; Díaz, Ruben; Díaz, Susana; Díez, Fernando; Dosdá, Rosa; Duca, Alejandro; Etulain, Ma Justina; Fernández, Carmen; Franco, Tania; Fuentes, Isabel; Gallego, Clara; Gallego-Casilda, Alberto; Galve, Ana Isabel; Garcés, Cristina; García, Mercedes; Garcia, Pablo; Garrigues, Beatriz; Gilabert, Vicente; González, Domingo; Gutierrez, Andrea; Hernández, Inmaculada; Izquierdo, Ana; Jurado, Ana; Katime, Antonio; Llamazares, Eduardo; Lardies, Rosa; Lisbona, Cristina; López-Herrera, Daniel; López, Ramiro; Lozano, Angels; Lozano, Elena; Marcos, José M.; Martín, Silvia; Martínez, Nilda; Martínez, Rocío; Martínez-Pallí, Graciella; Mazzinari, Guido; Miñana, Amanda; Moral, Victoria; Moreno, Tania; Mugarra, Ana; Muñoz, Lorena; Navarro, José I.; Olmedilla, Luis; Olmedo, Jonathan; Ojeda, Nazario; Parera, Ana; Parra, María Asunción; Parrilla, Cristina; Pastor, Ernesto; Peña, Natalia; Pérez, Ana María; Pérez, Jose María; Piqueras, Laura; Rico-Feijoo, Jesús; Rodríguez, Rayco; Román, Javier Ignacio; Romero, Antonio; Romero, Carolina; Romero, Esther; Ruiz, Isabel; Sánchez, Ester; Sandín, Francisco; Serralta, Ferran; Socorro, Tania; Soriano, Laura; Tisner, Manuel; Valencia, Lucía; Valls, Paola; Vaquero, Laura; Varón, Viviana; Vila, María; Villazala, Rubén; Villena, Abigail; Zapatero, Sara"}],"issued":{"date-parts":[["2018"]]}}},{"id":163,"uris":["http://zotero.org/users/local/L5HAWlIW/items/V9KG3S7Z"],"itemData":{"id":163,"type":"article-journal","abstract":"Abstract Background General anaesthesia leads to atelectasis, reduced end-expiratory lung volume (EELV), and diminished arterial oxygenation in obese patients. We hypothesized that a combination of a recruitment manoeuvre (RM) and individualized positive end-expiratory pressure (PEEP) can avoid these effects. Methods Patients with a BMI ≥35 kg m−2 undergoing elective laparoscopic surgery were randomly allocated to mechanical ventilation with a tidal volume of 8 ml kg−1 predicted body weight and (i) an RM followed by individualized PEEP titrated using electrical impedance tomography (PEEPIND) or (ii) no RM and PEEP of 5 cm H2O (PEEP5). Gas exchange, regional ventilation distribution, and EELV (multiple breath nitrogen washout method) were determined before, during, and after anaesthesia. The primary end point was the ratio of arterial partial pressure of oxygen to inspiratory oxygen fraction (PaO2/FiO2). Results For PEEPIND (n=25) and PEEP5 (n=25) arms together, PaO2/FiO2 and EELV decreased by 15 kPa [95% confidence interval (CI) 11–20 kPa, P Conclusions In obese patients, an RM and higher PEEPIND restored EELV, regional ventilation distribution, and oxygenation during anaesthesia, but these differences did not persist after extubation. Therefore, lung protection strategies should include the postoperative period. Clinical trial registration German clinical trials register DRKS00004199, www.who.int/ictrp/network/drks2/en/.","container-title":"British journal of anaesthesia","DOI":"10.1093/bja/aex192","issue":"6","note":"publisher: Oxford University Press","page":"1194-1205","title":"Individualized positive end-expiratory pressure in obese patients during general anaesthesia: a randomized controlled clinical trial using electrical impedance tomography","volume":"119","author":[{"family":"Nestler","given":"C.; Simon","suffix":"P.; Petroff, David; Hammermüller, Sören; Kamrath, D.; Wolf, Samuel J.; Dietrich, Arne; Camilo, Luciana Moisés; Beda, Alessandro; Carvalho, Alysson R.; Giannella-Neto, Antonio; Reske, Andreas W.; Wrigge, Hermann"}],"issued":{"date-parts":[["2017"]]}}},{"id":143,"uris":["http://zotero.org/users/local/L5HAWlIW/items/DLC97TPW"],"itemData":{"id":143,"type":"article-journal","abstract":"For patients undergoing robot-assisted radical prostatectomy, the pneumoperitoneum with a steep Trendelenburg position could worsen intraoperative respiratory mechanics and result in postoperative atelectasis. We investigated the effects of individualized positive end-expiratory pressure (PEEP) on postoperative atelectasis, evaluated using lung ultrasonography. Sixty patients undergoing robot-assisted radical prostatectomy were randomly allocated into two groups. Individualized groups (n = 30) received individualized PEEP determined by a decremental PEEP trial using 20 to 7 cm H2O, aiming at maximizing respiratory compliance, whereas standardized groups (n = 30) received a standardized PEEP of 7 cm H2O during the pneumoperitoneum. Ultrasound examination was performed on 12 sections of thorax, and the lung ultrasound score was measured as 0-3 by considering the number of B lines and the degree of subpleural consolidation. The primary outcome was the difference between the lung ultrasound scores measured before anesthesia induction and just after extubation in the operating room. An increase in the difference means the development of atelectasis. The optimal PEEP in the individualized group was determined as the median (interquartile range) 14 (12-18) cm H2O. Compared with the standardized group, the difference in the lung ultrasound scores was significantly smaller in the individualized group (-0.5 ± 2.7 vs. 6.0 ± 2.9, mean difference -6.53, 95% confidence interval (-8.00 to -5.07), p &lt; 0.001), which means that individualized PEEP was effective to reduce atelectasis. The lung ultrasound score measured after surgery was significantly lower in the individualized group than the standardized group (8.1 ± 5.7 vs. 12.2 ± 4.2, mean difference -4.13, 95% confidence interval (-6.74 to -1.53), p = 0.002). However, the arterial partial pressure of the oxygen/fraction of inspired oxygen levels during the surgery showed no significant time-group interaction between the two groups in repeated-measures analysis of variance (p = 0.145). The incidence of a composite of postoperative respiratory complications was comparable between the two groups. Individualized PEEP determined by maximal respiratory compliance during the pneumoperitoneum and steep Trendelenburg position significantly reduced postoperative atelectasis, as evaluated using lung ultrasonography. However, the clinical significance of this finding should be evaluated by a larger clinical trial.","container-title":"Journal of clinical medicine","DOI":"10.3390/jcm10040850","issue":"4","note":"publisher: Multidisciplinary Digital Publishing Institute (MDPI)","page":"850-NA","title":"The Effect of Ventilation with Individualized Positive End-Expiratory Pressure on Postoperative Atelectasis in Patients Undergoing Robot-Assisted Radical Prostatectomy: A Randomized Controlled Trial.","volume":"10","author":[{"family":"Yoon","given":"Hyun Kyu; Kim","suffix":"Bo Rim; Yoon, Susie; Jeong, Young Hyun; Ku, Ja Hyeon; Kim, Won Ho"}],"issued":{"date-parts":[["2021"]]}}},{"id":133,"uris":["http://zotero.org/users/local/L5HAWlIW/items/UXWZNMU2"],"itemData":{"id":133,"type":"article-journal","abstract":"Background: Low tidal volume (VT) during anesthesia minimizes lung injury but may be associated to a decrease in functional lung volume impairing lung mechanics and efficiency. Lung recruitment (RM ...","container-title":"PloS one","DOI":"10.1371/journal.pone.0177399","issue":"5","note":"publisher: Public Library of Science","page":"e0177399-NA","title":"Open lung approach versus standard protective strategies : Effects on driving pressure and ventilatory efficiency during anesthesia - A pilot, randomized controlled trial","volume":"12","author":[{"family":"Ferrando","given":"Carlos; Suarez-Sipmann","suffix":"Fernando; Tusman, Gerardo; León, Irene; Romero, Esther; Gracia, Estefania; Mugarra, Ana; Arocas, Blanca; Pozo, Natividad; Soro, Marina; Belda, Francisco Javier"}],"issued":{"date-parts":[["2017"]]}}},{"id":148,"uris":["http://zotero.org/users/local/L5HAWlIW/items/B5V6G46C"],"itemData":{"id":148,"type":"article-journal","abstract":"Abstract Background Robot-assisted laparoscopic radical prostatectomy requires general anaesthesia, extreme Trendelenburg positioning and capnoperitoneum. Together these promote impaired pulmonary gas exchange caused by atelectasis and may contribute to postoperative pulmonary complications. In morbidly obese patients, a recruitment manoeuvre (RM) followed by individualised PEEP improves intraoperative oxygenation and end-expiratory lung volume (EELV). We hypothesised that individualised PEEP with initial RM similarly improves intraoperative oxygenation and EELV in non-obese individuals undergoing robot-assisted prostatectomy. Methods Forty males (age, 49–76 yr; BMI Results In 20 males randomised to RM/PEEPIND, the median PEEPIND was 14 cm H2O [inter-quartile range, 8–20]. The Pao2/Fio2 was 10.0 kPa higher with RM/PEEPIND before extubation (95% confidence interval [CI], 2.6–17.3 kPa; P=0.001). RM/PEEPIND increased end-expiratory lung volume by 1.49 L (95% CI, 1.09–1.89 L; P Conclusion In non-obese males, an individualised ventilation strategy improved intraoperative oxygenation, which was associated with higher end-expiratory lung volumes during robot-assisted laparoscopic prostatectomy. Clinical trial registration DRKS00004199 (German clinical trials registry)","container-title":"British journal of anaesthesia","DOI":"10.1016/j.bja.2020.05.041","issue":"3","note":"publisher: Oxford University Press","page":"373-382","title":"Individualised positive end-expiratory pressure guided by electrical impedance tomography for robot-assisted laparoscopic radical prostatectomy: a prospective, randomised controlled clinical trial","volume":"125","author":[{"family":"Girrbach","given":"Felix; Petroff","suffix":"David; Schulz, Susann; Hempel, Gunther; Lange, Mirko; Klotz, Carolin; Scherz, Stephanie; Giannella-Neto, Antonio; Beda, Alessandro; Jardim-Neto, Alcendino; Stolzenburg, Jens-Uwe; Reske, Andreas W.; Wrigge, Hermann; Simon, Philipp"}],"issued":{"date-parts":[["2020"]]}}},{"id":1570,"uris":["http://zotero.org/users/local/L5HAWlIW/items/V3SBX9HI"],"itemData":{"id":1570,"type":"article-journal","container-title":"British Journal of Anaesthesia","DOI":"10.1016/j.bja.2023.08.007","ISSN":"00070912","issue":"5","journalAbbreviation":"British Journal of Anaesthesia","language":"en","page":"955-965","source":"DOI.org (Crossref)","title":"Effect of driving pressure-guided positive end-expiratory pressure on postoperative pulmonary complications in patients undergoing laparoscopic or robotic surgery: a randomised controlled trial","title-short":"Effect of driving pressure-guided positive end-expiratory pressure on postoperative pulmonary complications in patients undergoing laparoscopic or robotic surgery","volume":"131","author":[{"family":"Kim","given":"Yoon Jung"},{"family":"Kim","given":"Bo Rim"},{"family":"Kim","given":"Hee Won"},{"family":"Jung","given":"Ji-Yoon"},{"family":"Cho","given":"Hye-Yeon"},{"family":"Seo","given":"Jeoung-Hwa"},{"family":"Kim","given":"Won Ho"},{"family":"Kim","given":"Hee-Soo"},{"family":"Hwangbo","given":"Suhyun"},{"family":"Yoon","given":"Hyun-Kyu"}],"issued":{"date-parts":[["2023",11]]}}},{"id":22,"uris":["http://zotero.org/users/local/L5HAWlIW/items/J95XU98Y"],"itemData":{"id":22,"type":"article-journal","container-title":"Surgery","DOI":"10.1016/j.surg.2021.01.047","ISSN":"00396060","issue":"1","journalAbbreviation":"Surgery","language":"en","note":"number: 1","page":"277-283","source":"DOI.org (Crossref)","title":"Effect of driving pressure-guided positive end-expiratory pressure (PEEP) titration on postoperative lung atelectasis in adult patients undergoing elective major abdominal surgery: A randomized controlled trial","title-short":"Effect of driving pressure-guided positive end-expiratory pressure (PEEP) titration on postoperative lung atelectasis in adult patients undergoing elective major abdominal surgery","volume":"170","author":[{"family":"Mini","given":"Gouri"},{"family":"Ray","given":"Bikash R."},{"family":"Anand","given":"Rahul K."},{"family":"Muthiah","given":"Thilaka"},{"family":"Baidya","given":"Dalim K."},{"family":"Rewari","given":"Vimi"},{"family":"Sahni","given":"Peush"},{"family":"Maitra","given":"Souvik"}],"issued":{"date-parts":[["2021",7]]}}},{"id":1667,"uris":["http://zotero.org/users/local/L5HAWlIW/items/C4CXU7ZP"],"itemData":{"id":1667,"type":"article-journal","abstract":"Objective To investigate the effect of individualized positive end expiratory pressure (PEEP) setting guided by chest electrical impedance tomography (EIT) on the incidence of hypoxemia in elderly patients undergoing robot‑assisted radical prostatectomy in the post anesthesia care unit (PACU). Methods From September 2020 to October 2021, sixty elderly patients, with the American Association of Anesthesiologists (ASA) of Grade Ⅰ to Ⅲ, who underwent selective robot‑assisted radical prostatectomy under general anesthesia in the Cancer Hospital Affiliated to Fudan University were selected. The participants were divided into two groups by the minimum randomized grouping method: EIT‑PEEP group (EP group, n=30) and fixed PEEP group (FP group, n=30). After completion of tracheal intubation and establishment of pneumoperitoneum flexion posture, the individualized PEEP setting was guided by EIT in EP group, and the PEEP setting in FP group was 5 cmH2O (1 cmH2O=0.098 kPa) to the end of operation. During the operation, the ventilation mode of pressure regulation volume control was adopted. The driving pressure, dynamic lung compliance (Cdyn), oxygenation index and hemodynamics were recorded at 5 min (T1), 30 min (T2), 60 min (T3) after PEEP setting and at the time of tracheal catheter removal (T4) in both groups. The primary end point was the incidence of hypoxemia in PACU after extubation. Results The incidence of hypoxemia after extubation was 3.3% (1/30) in EP group and 26.7% (8/ 30) in FP group (P=0.030). The difference of driving pressure between the two groups at T2 [(13.1± 2.4) cmH2O vs (14.9±2.9) cmH2O, P=0.012], T3 [(12.7±2.4) cmH2O vs (15.6±2.8) cmH2O, P&lt;0.001] was statistically significant. In EP group, Cdyn was improved at T2 [(38.4±7.2) ml/cmH2O vs (31.9±5.2) ml/cmH2O, P=0.006] and T3 [(37.5</w:instrText>
      </w:r>
      <w:r w:rsidR="000A77A9">
        <w:rPr>
          <w:rFonts w:cs="Times New Roman"/>
          <w:lang w:val="en-US"/>
        </w:rPr>
        <w:instrText>��</w:instrText>
      </w:r>
      <w:r w:rsidR="000A77A9">
        <w:rPr>
          <w:lang w:val="en-US"/>
        </w:rPr>
        <w:instrText xml:space="preserve">9.0) ml/cmH2O vs (30.4±5.9) ml/cmH2O, P=0.001]. In EP group, PaO2/FiO2 increased at T1 [(465.7±84.5) mmHg vs (383.5±58.0) mmHg, 1 mmHg=0.133 kPa, P&lt; 0.001], T2 [(504.7±105.8) mmHg vs (418.9±73.7) mmHg, P=0.001], T3 [(520.7±92.2) mmHg vs (423.2±90.7) mmHg, P&lt;0.001], T4 [(368.7±42.0) mmHg vs (339.5±54.9) mmHg, P=0.024]. Conclusion The individualized PEEP setting guided by EIT can reduce the incidence of hypoxemia in elderly patients undergoing robot assisted radical prostatectomy in PACU.","archive_location":"CN-02613242","container-title":"Zhonghua yi xue za zhi","DOI":"10.3760/cma.j.cn112137-20220415-00818","issue":"47","journalAbbreviation":"Zhonghua yi xue za zhi","page":"3727‐3733","title":"Effect of EIT-guided individualized PEEP setting on the incidence of hypoxemia in elderly patients undergoing robot-assisted radical prostatectomy","volume":"102","author":[{"family":"Pan","given":"LL"},{"family":"Gao","given":"LL"},{"family":"Yang","given":"L"},{"family":"Pan","given":"CX"},{"family":"Yin","given":"YH"},{"family":"Zhu","given":"Y"},{"family":"Zhang","given":"J"}],"issued":{"date-parts":[["2022"]]}}},{"id":168,"uris":["http://zotero.org/users/local/L5HAWlIW/items/67NQ5YJS"],"itemData":{"id":168,"type":"article-journal","abstract":"BACKGROUND The creation of pneumoperitoneum during laparoscopic surgery can lead to adverse effects on the respiratory system. Positive end-expiratory pressure (PEEP) plays an important role in mechanical ventilation during laparoscopic surgery. OBJECTIVE To evaluate whether PEEP setting guided by oesophageal pressure (Poeso) measurement would affect oxygenation and respiratory mechanics during laparoscopic gynaecological surgery. DESIGN A randomised controlled study. SETTING A single-centre trial from March 2018 to June 2018. PATIENTS Forty-four adult patients undergoing laparoscopic gynaecological surgery with anticipated duration of surgery more than 2 h. INTERVENTION PEEP set according to Poeso measurement (intervention group) versus PEEP constantly set at 5 cmH2O (control group). MAIN OUTCOME MEASURES Gas exchange and respiratory mechanics after induction and intubation (T0) and at 15 and 60 min after initiation of pneumoperitoneum (T1 and T2, respectively). RESULTS PEEP during pneumoperitoneum was significantly higher in the intervention group than in the control group (T1, 12.5 ± 1.9 vs. 5.0 ± 0.0 cmH2O and T2, 12.4 ± 1.9 vs. 5.0 ± 0.0 cmH2O, both P &lt; 0.001). Partial pressures of oxygen decreased significantly from baseline during pneumoperitoneum in the control group but not in the intervention group. Nevertheless, the changes in partial pressures of oxygen did not differ between groups. Compliance of the respiratory system (CRS) significantly decreased and driving pressure significantly increased during pneumoperitoneum in both groups. However, the changes in CRS and driving pressure were significantly less in the intervention group. Transpulmonary pressure during expiration was maintained in the intervention group while it decreased significantly in the control group. CONCLUSION PEEP setting guided by Poeso measurement showed no beneficial effects in terms of oxygenation but respiratory mechanics were better during laparoscopic gynaecological surgery. TRIAL REGISTRATION ClinicalTrials.gov identifier: NCT03256396.","container-title":"European journal of anaesthesiology","DOI":"10.1097/eja.0000000000001204","issue":"11","note":"publisher: Wolters Kluwer Health","page":"1032-1039","title":"Effects of intra-operative positive end-expiratory pressure setting guided by oesophageal pressure measurement on oxygenation and respiratory mechanics during laparoscopic gynaecological surgery: A randomised controlled trial.","volume":"37","author":[{"family":"Piriyapatsom","given":"Annop; Phetkampang","suffix":"Sanchai"}],"issued":{"date-parts":[["2020"]]}}},{"id":1566,"uris":["http://zotero.org/users/local/L5HAWlIW/items/5KHQPKBX"],"itemData":{"id":1566,"type":"article-journal","container-title":"Egyptian Journal of Anaesthesia","DOI":"10.1080/11101849.2023.2230050","ISSN":"1110-1849","issue":"1","journalAbbreviation":"Egyptian Journal of Anaesthesia","language":"en","page":"496-501","source":"DOI.org (Crossref)","title":"Effect of individualized intraoperative lung recruitment maneuver on postoperative pulmonary complications in patients undergoing upper abdominal surgeries under general anesthesia","volume":"39","author":[{"family":"Mohammad Salama","given":"Mohammad Elhossieny"},{"family":"El-Taher","given":"Ezzat Mohamed"},{"family":"Abdel-Rahman Al-Touny","given":"Ahmad Hamed"},{"family":"Ismail","given":"Reda Aboelmagd"},{"family":"Abdel-Ghaffar","given":"Mohamed Emad Eldin"}],"issued":{"date-parts":[["2023",12,31]]}}},{"id":1564,"uris":["http://zotero.org/users/local/L5HAWlIW/items/FCGMMFJC"],"itemData":{"id":1564,"type":"article-journal","abstract":"Introduction\n              \n                During pneumoperitoneum (PNP), airway driving pressure (ΔP\n                RS\n                ) increases due to the stiffness of the chest wall and cephalic shift of the diaphragm, which favors atelectasis. In addition, depending on the mechanical power (MP) formulas, they may lead to different interpretations.\n              \n            \n            \n              Methods\n              \n                Patients &amp;gt;18 years of age with body mass index &amp;gt;35 kg/m\n                2\n                were included in a single-center randomized controlled trial during their admission for bariatric surgery by abdominal laparoscopy. Intra-abdominal pressure was set at 15 mmHg at the pneumoperitoneum time point (PNP). After the recruitment maneuver, the lowest respiratory system elastance (E\n                RS\n                ) was detected during the positive end-expiratory pressure (PEEP) step-wise decrement. Patients were randomized to the 1) CTRL group: ventilated with PEEP of 5 cmH\n                2\n                O and 2) PEEP\n                IND\n                group: ventilated with PEEP value associated with E\n                RS\n                that is 5% higher than its lowest level. Respiratory system mechanics and mean arterial pressure (MAP) were assessed at the PNP, 5 min after randomization (T1), and at the end of the ventilation protocol (T2); arterial blood gas was assessed at PNP and T2. ΔP\n                RS\n                was the primary outcome. Three MP formulas were used: MP\n                A\n                , which computes static PEEP × volume, elastic, and resistive components; MP\n                B\n                , which computes only the elastic component; and MP\n                C\n                , which computes static PEEP × volume, elastic, and resistive components without inspiratory holds.\n              \n            \n            \n              Results\n              \n                Twenty-eight patients were assessed for eligibility: eight were not included and 20 patients were randomized and allocated to CTRL and PEEP\n                IND\n                groups (\n                n\n                = 10/group). The PEEP\n                IND\n                ventilator strategy reduced ΔP\n                RS\n                when compared with the CTRL group (PEEP\n                IND\n                , 13 ± 2 cmH\n                2\n                O; CTRL, 22 ± 4 cmH\n                2\n                O;\n                p\n                &amp;lt; 0.001). Oxygenation improved in the PEEP\n                IND\n                group when compared with the CTRL group (\n                p\n                = 0.029), whereas MAP was comparable between the PEEP\n                IND\n                and CTRL groups. At the end of surgery, MP\n                A\n                and MP\n                B\n                were correlated in both the CTRL (rho = 0.71,\n                p\n                = 0.019) and PEEP\n                IND\n                (rho = 0.84,\n                p\n                = 0.020) groups but showed different bias (CTRL, −1.9 J/min; PEEP\n                IND\n                , +10.0 J/min). At the end of the surgery, MP\n                A\n                and MP\n                C\n                were correlated in both the CTRL (rho = 0.71,\n                p\n                = 0.019) and PEEP\n                IND\n                (rho = 0.84,\n                p\n                = 0.020) groups but showed different bias (CTRL, −1.9 J/min; PEEP\n                IND\n                , +10.0 J/min).\n              \n            \n            \n              Conclusion\n              \n                Individualized PEEP was associated with a reduction in ΔP\n                RS\n                and an improvement in oxygenation with comparable MAP. The MP, which solely computes the elastic component, better reflected the improvement in ΔP\n                RS\n                observed in the individualized PEEP group.\n              \n            \n            \n              Clinical Trial Registration:\n              The protocol was registered at the Brazilian Registry of Clinical Trials (U1111-1220-7296).","container-title":"Frontiers in Physiology","DOI":"10.3389/fphys.2024.1383167","ISSN":"1664-042X","journalAbbreviation":"Front. Physiol.","page":"1383167","source":"DOI.org (Crossref)","title":"Individualized positive end-expiratory pressure reduces driving pressure in obese patients during laparoscopic surgery under pneumoperitoneum: a randomized clinical trial","title-short":"Individualized positive end-expiratory pressure reduces driving pressure in obese patients during laparoscopic surgery under pneumoperitoneum","volume":"15","author":[{"family":"Xavier","given":"Tiago Batista"},{"family":"Coelho","given":"Leonardo Vicente"},{"family":"Ferreira","given":"Daniel Antonio Lopes"},{"family":"Cota Y Raposeiras","given":"José Manuel"},{"family":"Duran","given":"Marcelo Sampaio"},{"family":"Silva","given":"Leticia Almeida"},{"family":"Motta-Ribeiro","given":"Gabriel Casulari Da"},{"family":"Camilo","given":"Luciana Moisés"},{"family":"Carvalho","given":"Alysson Roncally Silva"},{"family":"Silva","given":"Pedro Leme"}],"issued":{"date-parts":[["2024",4,5]]}}},{"id":157,"uris":["http://zotero.org/users/local/L5HAWlIW/items/9I65CFBK"],"itemData":{"id":157,"type":"article-journal","abstract":"Background The optimal positive end-expiratory pressure (PEEP) to prevent postoperative pulmonary complications (PPCs) remains unclear. Recent evidence showed that driving pressure was closely related to PPCs. In this study, we tested the hypothesis that an individualized PEEP guided by minimum driving pressure during abdominal surgery would reduce the incidence of PPCs. Methods This single-centered, randomized controlled trial included a total of 148 patients scheduled for open upper abdominal surgery. Patients were randomly assigned to receive an individualized PEEP guided by minimum driving pressure or an empiric fixed PEEP of 6 cm H2O. The primary outcome was the incidence of clinically significant PPCs within the first 7 days after surgery, using a χ2 test. Secondary outcomes were the severity of PPCs, the area of atelectasis, and pleural effusion. Other outcomes, such as the incidence of different types of PPCs (including hypoxemia, atelectasis, pleural effusion, dyspnea, pneumonia, pneumothorax, and acute respiratory distress syndrome), intensive care unit (ICU) admission rate, length of hospital stay, and 30-day mortality were also explored. Results The median value of PEEP in the individualized group was 10 cm H2O. The incidence of clinically significant PPCs was significantly lower in the individualized PEEP group compared with that in the fixed PEEP group (26 of 67 [38.8%] vs 42 of 67 [62.7%], relative risk = 0.619, 95% confidence intervals, 0.435-0.881; P = .006). The overall severity of PPCs and the area of atelectasis were also significantly diminished in the individualized PEEP group. Higher respiratory compliance during surgery and improved intra- and postoperative oxygenation was observed in the individualized group. No significant differences were found in other outcomes between the 2 groups, such as ICU admission rate or 30-day mortality. Conclusions The application of individualized PEEP based on minimum driving pressure may effectively decrease the severity of atelectasis, improve oxygenation, and reduce the incidence of clinically significant PPCs after open upper abdominal surgery.","container-title":"Anesthesia and analgesia","DOI":"10.1213/ane.0000000000005575","issue":"5","note":"publisher: Lippincott Williams and Wilkins","page":"1197-1205","title":"Driving Pressure-Guided Individualized Positive End-Expiratory Pressure in Abdominal Surgery: A Randomized Controlled Trial.","volume":"133","author":[{"family":"Zhang","given":"Chengmi; Xu","suffix":"Fengying; Li, Weiwei; Tong, Xingyu; Xia, Ran; Wang, Wei; Du, Jianer; Shi, Xueyin"}],"issued":{"date-parts":[["2021"]]}}},{"id":1562,"uris":["http://zotero.org/users/local/L5HAWlIW/items/ANKXGAEQ"],"itemData":{"id":1562,"type":"article-journal","abstract":"Background\n              Electrical impedance tomography (EIT) has been shown to be useful in guiding individual positive end-expiratory pressure titration for patients with mechanical ventilation. However, the appropriate positive end-expiratory pressure (PEEP) level and whether the individualized PEEP needs to be adjusted during long-term surgery (&amp;gt;6 h) were unknown. Meanwhile, the effect of individualized PEEP on the distribution of pulmonary ventilation in patients who receive abdominal thermoperfusion chemotherapy is unknown. The primary aim of this study was to observe the effect of EIT-guided PEEP on the distribution of pulmonary ventilation in patients undergoing cytoreductive surgery (CRS) combined with hot intraperitoneal chemotherapy (HIPEC). The secondary aim was to analyze their effect on postoperative pulmonary complications.\n            \n            \n              Methods\n              \n                A total of 48 patients were recruited and randomly divided into two groups, with 24 patients in each group. For the control group (group A), PEEP was set at 5 cm H\n                2\n                O, while in the EIT group (group B), individual PEEP was titrated and adjusted every 2 h with EIT guidance. Ventilation distribution, respiratory/circulation parameters, and PPC incidence were compared between the two groups.\n              \n            \n            \n              Results\n              \n                The average individualized PEEP was 10.3 ± 1.5 cm H\n                2\n                O, 10.2 ± 1.6 cm H\n                2\n                O, 10.1 ± 1.8 cm H\n                2\n                O, and 9.7 ± 2.1 cm H\n                2\n                O at 5 min, 2 h, 4 h, and 6 h after tracheal intubation during CRS + HIPEC. Individualized PEEP was correlated with ventilation distribution in the regions of interest (ROI) 1 and ROI 3 at 4 h mechanical ventilation and ROI 1 at 6 h mechanical ventilation. The ventilation distribution under individualized PEEP was back-shifted for 6 h but moved to the control group’s ventral side under PEEP 5 cm H\n                2\n                O. The respiratory and circulatory function indicators were both acceptable either under individualized PEEP or PEEP 5 cm H\n                2\n                O. The incidence of total PPCs was significantly lower under individualized PEEP (66.7%) than PEEP 5 cm H\n                2\n                O (37.5%) for patients with CRS + HIPEC.\n              \n            \n            \n              Conclusion\n              \n                The appropriate individualized PEEP was stable at approximately 10 cm H\n                2\n                O during 6 h for patients with CRS + HIPEC, along with better ventilation distribution and a lower total PPC incidence than the fixed PEEP of 5 cm H\n                2\n                O.\n              \n              \n                Clinical trial registration:\n                identifier ChiCTR1900023897.","container-title":"Frontiers in Medicine","DOI":"10.3389/fmed.2023.1198720","ISSN":"2296-858X","journalAbbreviation":"Front. Med.","page":"1198720.","source":"DOI.org (Crossref)","title":"Effect of individualized positive end-expiratory pressure based on electrical impedance tomography guidance on pulmonary ventilation distribution in patients who receive abdominal thermal perfusion chemotherapy","volume":"10","author":[{"family":"Xiao","given":"Li"},{"family":"Yu","given":"Kang"},{"family":"Yang","given":"Jiao-Jiao"},{"family":"Liu","given":"Wen-Tao"},{"family":"Liu","given":"Lei"},{"family":"Miao","given":"Hui-Hui"},{"family":"Li","given":"Tian-Zuo"}],"issued":{"date-parts":[["2023",9,5]]}}}],"schema":"https://github.com/citation-style-language/schema/raw/master/csl-citation.json"} </w:instrText>
      </w:r>
      <w:r w:rsidR="00B52617" w:rsidRPr="00483D15">
        <w:rPr>
          <w:lang w:val="en-US"/>
        </w:rPr>
        <w:fldChar w:fldCharType="separate"/>
      </w:r>
      <w:r w:rsidR="000A77A9" w:rsidRPr="000A77A9">
        <w:rPr>
          <w:rFonts w:cs="Times New Roman"/>
          <w:kern w:val="0"/>
        </w:rPr>
        <w:t>[1,6,13–15,17,50,52,57–60,62,64,67]</w:t>
      </w:r>
      <w:r w:rsidR="00B52617" w:rsidRPr="00483D15">
        <w:rPr>
          <w:lang w:val="en-US"/>
        </w:rPr>
        <w:fldChar w:fldCharType="end"/>
      </w:r>
      <w:r w:rsidRPr="00483D15">
        <w:rPr>
          <w:lang w:val="en-US"/>
        </w:rPr>
        <w:t>, was significantly lower with titrated PEEP settings compared to a fixed PEEP strategy (MD = −2.75 cm H</w:t>
      </w:r>
      <w:r w:rsidRPr="00787E54">
        <w:rPr>
          <w:vertAlign w:val="subscript"/>
          <w:lang w:val="en-US"/>
        </w:rPr>
        <w:t>2</w:t>
      </w:r>
      <w:r w:rsidRPr="00483D15">
        <w:rPr>
          <w:lang w:val="en-US"/>
        </w:rPr>
        <w:t xml:space="preserve">O, 95% CI: −3.95 to −1.55, I² = 89%, p </w:t>
      </w:r>
      <w:proofErr w:type="gramStart"/>
      <w:r w:rsidRPr="00483D15">
        <w:rPr>
          <w:lang w:val="en-US"/>
        </w:rPr>
        <w:t>&lt; 0.001</w:t>
      </w:r>
      <w:proofErr w:type="gramEnd"/>
      <w:r w:rsidRPr="00483D15">
        <w:rPr>
          <w:lang w:val="en-US"/>
        </w:rPr>
        <w:t>).</w:t>
      </w:r>
    </w:p>
    <w:p w14:paraId="760A5BB2" w14:textId="4D049120" w:rsidR="002B3ECC" w:rsidRDefault="00D30A32" w:rsidP="002B3ECC">
      <w:pPr>
        <w:keepNext/>
      </w:pPr>
      <w:r>
        <w:rPr>
          <w:noProof/>
        </w:rPr>
        <w:lastRenderedPageBreak/>
        <w:drawing>
          <wp:inline distT="0" distB="0" distL="0" distR="0" wp14:anchorId="1158ED63" wp14:editId="4CE8142E">
            <wp:extent cx="5400040" cy="6477000"/>
            <wp:effectExtent l="19050" t="19050" r="10160" b="19050"/>
            <wp:docPr id="1584394537"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394537" name="Picture 1" descr="A close-up of a graph&#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6477000"/>
                    </a:xfrm>
                    <a:prstGeom prst="rect">
                      <a:avLst/>
                    </a:prstGeom>
                    <a:noFill/>
                    <a:ln>
                      <a:solidFill>
                        <a:schemeClr val="tx1"/>
                      </a:solidFill>
                    </a:ln>
                  </pic:spPr>
                </pic:pic>
              </a:graphicData>
            </a:graphic>
          </wp:inline>
        </w:drawing>
      </w:r>
    </w:p>
    <w:p w14:paraId="5516AC96" w14:textId="32434CAF" w:rsidR="002C1BD9" w:rsidRPr="00483D15" w:rsidRDefault="002B3ECC" w:rsidP="002B3ECC">
      <w:pPr>
        <w:pStyle w:val="Caption"/>
        <w:rPr>
          <w:lang w:val="en-US"/>
        </w:rPr>
      </w:pPr>
      <w:bookmarkStart w:id="46" w:name="_Toc204637062"/>
      <w:proofErr w:type="spellStart"/>
      <w:r>
        <w:t>Figure</w:t>
      </w:r>
      <w:proofErr w:type="spellEnd"/>
      <w:r>
        <w:t xml:space="preserve"> </w:t>
      </w:r>
      <w:fldSimple w:instr=" SEQ Figure \* ARABIC ">
        <w:r w:rsidR="007F7DB3">
          <w:rPr>
            <w:noProof/>
          </w:rPr>
          <w:t>9</w:t>
        </w:r>
      </w:fldSimple>
      <w:r>
        <w:t xml:space="preserve"> - </w:t>
      </w:r>
      <w:r w:rsidRPr="008A7C66">
        <w:t xml:space="preserve">Forest </w:t>
      </w:r>
      <w:proofErr w:type="spellStart"/>
      <w:r w:rsidRPr="008A7C66">
        <w:t>plot</w:t>
      </w:r>
      <w:proofErr w:type="spellEnd"/>
      <w:r w:rsidRPr="008A7C66">
        <w:t xml:space="preserve"> of </w:t>
      </w:r>
      <w:proofErr w:type="spellStart"/>
      <w:r w:rsidRPr="008A7C66">
        <w:t>mean</w:t>
      </w:r>
      <w:proofErr w:type="spellEnd"/>
      <w:r w:rsidRPr="008A7C66">
        <w:t xml:space="preserve"> </w:t>
      </w:r>
      <w:proofErr w:type="spellStart"/>
      <w:r w:rsidRPr="008A7C66">
        <w:t>differences</w:t>
      </w:r>
      <w:proofErr w:type="spellEnd"/>
      <w:r w:rsidRPr="008A7C66">
        <w:t xml:space="preserve"> </w:t>
      </w:r>
      <w:r>
        <w:t xml:space="preserve">of </w:t>
      </w:r>
      <w:proofErr w:type="spellStart"/>
      <w:r>
        <w:t>driving</w:t>
      </w:r>
      <w:proofErr w:type="spellEnd"/>
      <w:r>
        <w:t xml:space="preserve"> </w:t>
      </w:r>
      <w:proofErr w:type="spellStart"/>
      <w:r>
        <w:t>pressure</w:t>
      </w:r>
      <w:proofErr w:type="spellEnd"/>
      <w:r w:rsidRPr="008A7C66">
        <w:t xml:space="preserve"> (</w:t>
      </w:r>
      <w:proofErr w:type="spellStart"/>
      <w:r>
        <w:t>dP</w:t>
      </w:r>
      <w:proofErr w:type="spellEnd"/>
      <w:r w:rsidRPr="008A7C66">
        <w:t xml:space="preserve">) </w:t>
      </w:r>
      <w:proofErr w:type="spellStart"/>
      <w:r w:rsidRPr="008A7C66">
        <w:t>between</w:t>
      </w:r>
      <w:proofErr w:type="spellEnd"/>
      <w:r w:rsidRPr="008A7C66">
        <w:t xml:space="preserve"> </w:t>
      </w:r>
      <w:proofErr w:type="spellStart"/>
      <w:r w:rsidRPr="008A7C66">
        <w:t>groups</w:t>
      </w:r>
      <w:bookmarkEnd w:id="46"/>
      <w:proofErr w:type="spellEnd"/>
    </w:p>
    <w:p w14:paraId="4A204F75" w14:textId="63EC44F8" w:rsidR="00650CBF" w:rsidRDefault="008E62A1" w:rsidP="0036711F">
      <w:pPr>
        <w:rPr>
          <w:lang w:val="en-US"/>
        </w:rPr>
      </w:pPr>
      <w:r w:rsidRPr="00483D15">
        <w:rPr>
          <w:lang w:val="en-US"/>
        </w:rPr>
        <w:t>P</w:t>
      </w:r>
      <w:r w:rsidR="007378F5" w:rsidRPr="00483D15">
        <w:rPr>
          <w:lang w:val="en-US"/>
        </w:rPr>
        <w:t>lateau pressure (</w:t>
      </w:r>
      <w:proofErr w:type="spellStart"/>
      <w:r w:rsidR="007378F5" w:rsidRPr="00483D15">
        <w:rPr>
          <w:lang w:val="en-US"/>
        </w:rPr>
        <w:t>Ppl</w:t>
      </w:r>
      <w:r w:rsidR="001D245B">
        <w:rPr>
          <w:lang w:val="en-US"/>
        </w:rPr>
        <w:t>at</w:t>
      </w:r>
      <w:proofErr w:type="spellEnd"/>
      <w:r w:rsidR="007378F5" w:rsidRPr="00483D15">
        <w:rPr>
          <w:lang w:val="en-US"/>
        </w:rPr>
        <w:t xml:space="preserve">) </w:t>
      </w:r>
      <w:r w:rsidR="00A83D2C">
        <w:rPr>
          <w:lang w:val="en-US"/>
        </w:rPr>
        <w:t>(1</w:t>
      </w:r>
      <w:r w:rsidR="007378F5" w:rsidRPr="00483D15">
        <w:rPr>
          <w:lang w:val="en-US"/>
        </w:rPr>
        <w:t>8 studies</w:t>
      </w:r>
      <w:r w:rsidR="00A83D2C">
        <w:rPr>
          <w:lang w:val="en-US"/>
        </w:rPr>
        <w:t xml:space="preserve">, </w:t>
      </w:r>
      <w:r w:rsidR="007378F5" w:rsidRPr="00483D15">
        <w:rPr>
          <w:lang w:val="en-US"/>
        </w:rPr>
        <w:t>1,762 patients)</w:t>
      </w:r>
      <w:r w:rsidR="001F3E9D">
        <w:rPr>
          <w:lang w:val="en-US"/>
        </w:rPr>
        <w:t xml:space="preserve"> </w:t>
      </w:r>
      <w:r w:rsidR="00B52617" w:rsidRPr="00483D15">
        <w:rPr>
          <w:lang w:val="en-US"/>
        </w:rPr>
        <w:fldChar w:fldCharType="begin"/>
      </w:r>
      <w:r w:rsidR="007E51AA">
        <w:rPr>
          <w:lang w:val="en-US"/>
        </w:rPr>
        <w:instrText xml:space="preserve"> ADDIN ZOTERO_ITEM CSL_CITATION {"citationID":"ALF2qbX7","properties":{"formattedCitation":"[1,13\\uc0\\u8211{}15,17,47,49,52,54,56\\uc0\\u8211{}60,64,65]","plainCitation":"[1,13–15,17,47,49,52,54,56–60,64,65]","noteIndex":0},"citationItems":[{"id":147,"uris":["http://zotero.org/users/local/L5HAWlIW/items/A8UQPRVS"],"itemData":{"id":147,"type":"article-journal","abstract":"Editor’s PerspectiveWhat We Already Know about This TopicIn patients with adult respiratory distress syndrome, physiologic tidal volume and positive end-expiratory pressure (PEEP) are protectiveIn patients without lung diseases undergoing mechanical ventilation under general anesthesia, optimal PEEP","container-title":"Anesthesiology","DOI":"10.1097/aln.0000000000002435","issue":"6","note":"publisher: Lippincott Williams and Wilkins","page":"1070-1081","title":"Individual Positive End-expiratory Pressure Settings Optimize Intraoperative Mechanical Ventilation and Reduce Postoperative Atelectasis","volume":"129","author":[{"family":"Pereira","given":"Sérgio; Tucci","suffix":"Mauro R.; Morais, Caio C. A.; Simões, Claudia Marquez; Tonelotto, Bruno Francisco Freitas; Pompeo, Michel S.; Kay, Fernando Uliana; Pelosi, Paolo; Vieira, Joaquim Edson; Amato, Marcelo B. P."}],"issued":{"date-parts":[["2018"]]}}},{"id":178,"uris":["http://zotero.org/users/local/L5HAWlIW/items/BNXF362C"],"itemData":{"id":178,"type":"article-journal","abstract":"NA","container-title":"The Lancet. Respiratory medicine","DOI":"10.1016/s2213-2600(18)30024-9","issue":"3","note":"publisher: Elsevier Limited","page":"193-203","title":"Individualised perioperative open-lung approach versus standard protective ventilation in abdominal surgery (iPROVE): a randomised controlled trial.","volume":"6","author":[{"family":"Ferrando","given":"Carlos; Soro","suffix":"Marina; Unzueta, Carmen; Suarez-Sipmann, Fernando; Canet, Jaume; Librero, Julián; Pozo, Natividad; Peiró, Salvador; Llombart, Alicia; León, Irene; India, Inmaculada; Aldecoa, Cesar; Diaz-Cambronero, Oscar; Pestaña, David; Redondo, Francisco J; Garutti, Ignacio; Balust, Jaume; García, Jose Ignacio; Ibáñez, Maite; Granell, M.; Rodríguez, Aurelio; Gallego, Lucía; de la Matta, Manuel; González, Rafael; Brunelli, Andrea; García, Javier Contreras; Rovira, Lucas; Barrios, Francisco; Torres, Vicente; Hernández, Samuel; Gracia, Estefania; Giné, Marta; Garcia, Maria; Garcia, Nuria; Miguel, Lisset; Sánchez, Sergio; Piñeiro, Patricia; Pujol, Roger; García-del-Valle, Santiago; Valdivia, José; Hernández, María; Padrón, Oto; Colás, Ana; Puig, Jaume; Azparren, Gonzalo; Tusman, Gerardo; Villar, Jesús; Belda, Javier; Acosta, Jesús; Aguilar, Gerardo; Alberola, María José; Alcón, Amalia; Alonso, Jose M.; Alonso, María Dolores; Anaya, Rafael; Argente, María Pilar; Agilaga, Marta; Arocas, Blanca; Asensio, Ana; Ayas, Begoña; Ayuso, Mercedes; Balandrón, Victor; Del Barrio, Maria; Bejarano, Natalia; Benítez, Inmaculada; Cabrera, Sergio; Carbonell, José A.; Carramiñana, Albert; Carrizo, Juan; Cegarra, Virginia; Chamorro, Estefanía; Charco, Pedro; Cruz, Patricia; Daviu, Francisco; De Fez, Mario; de Miguel, Angeles; Del Río, Elena; Delgado, Carlos; Díaz, Ruben; Díaz, Susana; Díez, Fernando; Dosdá, Rosa; Duca, Alejandro; Etulain, Ma Justina; Fernández, Carmen; Franco, Tania; Fuentes, Isabel; Gallego, Clara; Gallego-Casilda, Alberto; Galve, Ana Isabel; Garcés, Cristina; García, Mercedes; Garcia, Pablo; Garrigues, Beatriz; Gilabert, Vicente; González, Domingo; Gutierrez, Andrea; Hernández, Inmaculada; Izquierdo, Ana; Jurado, Ana; Katime, Antonio; Llamazares, Eduardo; Lardies, Rosa; Lisbona, Cristina; López-Herrera, Daniel; López, Ramiro; Lozano, Angels; Lozano, Elena; Marcos, José M.; Martín, Silvia; Martínez, Nilda; Martínez, Rocío; Martínez-Pallí, Graciella; Mazzinari, Guido; Miñana, Amanda; Moral, Victoria; Moreno, Tania; Mugarra, Ana; Muñoz, Lorena; Navarro, José I.; Olmedilla, Luis; Olmedo, Jonathan; Ojeda, Nazario; Parera, Ana; Parra, María Asunción; Parrilla, Cristina; Pastor, Ernesto; Peña, Natalia; Pérez, Ana María; Pérez, Jose María; Piqueras, Laura; Rico-Feijoo, Jesús; Rodríguez, Rayco; Román, Javier Ignacio; Romero, Antonio; Romero, Carolina; Romero, Esther; Ruiz, Isabel; Sánchez, Ester; Sandín, Francisco; Serralta, Ferran; Socorro, Tania; Soriano, Laura; Tisner, Manuel; Valencia, Lucía; Valls, Paola; Vaquero, Laura; Varón, Viviana; Vila, María; Villazala, Rubén; Villena, Abigail; Zapatero, Sara"}],"issued":{"date-parts":[["2018"]]}}},{"id":163,"uris":["http://zotero.org/users/local/L5HAWlIW/items/V9KG3S7Z"],"itemData":{"id":163,"type":"article-journal","abstract":"Abstract Background General anaesthesia leads to atelectasis, reduced end-expiratory lung volume (EELV), and diminished arterial oxygenation in obese patients. We hypothesized that a combination of a recruitment manoeuvre (RM) and individualized positive end-expiratory pressure (PEEP) can avoid these effects. Methods Patients with a BMI ≥35 kg m−2 undergoing elective laparoscopic surgery were randomly allocated to mechanical ventilation with a tidal volume of 8 ml kg−1 predicted body weight and (i) an RM followed by individualized PEEP titrated using electrical impedance tomography (PEEPIND) or (ii) no RM and PEEP of 5 cm H2O (PEEP5). Gas exchange, regional ventilation distribution, and EELV (multiple breath nitrogen washout method) were determined before, during, and after anaesthesia. The primary end point was the ratio of arterial partial pressure of oxygen to inspiratory oxygen fraction (PaO2/FiO2). Results For PEEPIND (n=25) and PEEP5 (n=25) arms together, PaO2/FiO2 and EELV decreased by 15 kPa [95% confidence interval (CI) 11–20 kPa, P Conclusions In obese patients, an RM and higher PEEPIND restored EELV, regional ventilation distribution, and oxygenation during anaesthesia, but these differences did not persist after extubation. Therefore, lung protection strategies should include the postoperative period. Clinical trial registration German clinical trials register DRKS00004199, www.who.int/ictrp/network/drks2/en/.","container-title":"British journal of anaesthesia","DOI":"10.1093/bja/aex192","issue":"6","note":"publisher: Oxford University Press","page":"1194-1205","title":"Individualized positive end-expiratory pressure in obese patients during general anaesthesia: a randomized controlled clinical trial using electrical impedance tomography","volume":"119","author":[{"family":"Nestler","given":"C.; Simon","suffix":"P.; Petroff, David; Hammermüller, Sören; Kamrath, D.; Wolf, Samuel J.; Dietrich, Arne; Camilo, Luciana Moisés; Beda, Alessandro; Carvalho, Alysson R.; Giannella-Neto, Antonio; Reske, Andreas W.; Wrigge, Hermann"}],"issued":{"date-parts":[["2017"]]}}},{"id":143,"uris":["http://zotero.org/users/local/L5HAWlIW/items/DLC97TPW"],"itemData":{"id":143,"type":"article-journal","abstract":"For patients undergoing robot-assisted radical prostatectomy, the pneumoperitoneum with a steep Trendelenburg position could worsen intraoperative respiratory mechanics and result in postoperative atelectasis. We investigated the effects of individualized positive end-expiratory pressure (PEEP) on postoperative atelectasis, evaluated using lung ultrasonography. Sixty patients undergoing robot-assisted radical prostatectomy were randomly allocated into two groups. Individualized groups (n = 30) received individualized PEEP determined by a decremental PEEP trial using 20 to 7 cm H2O, aiming at maximizing respiratory compliance, whereas standardized groups (n = 30) received a standardized PEEP of 7 cm H2O during the pneumoperitoneum. Ultrasound examination was performed on 12 sections of thorax, and the lung ultrasound score was measured as 0-3 by considering the number of B lines and the degree of subpleural consolidation. The primary outcome was the difference between the lung ultrasound scores measured before anesthesia induction and just after extubation in the operating room. An increase in the difference means the development of atelectasis. The optimal PEEP in the individualized group was determined as the median (interquartile range) 14 (12-18) cm H2O. Compared with the standardized group, the difference in the lung ultrasound scores was significantly smaller in the individualized group (-0.5 ± 2.7 vs. 6.0 ± 2.9, mean difference -6.53, 95% confidence interval (-8.00 to -5.07), p &lt; 0.001), which means that individualized PEEP was effective to reduce atelectasis. The lung ultrasound score measured after surgery was significantly lower in the individualized group than the standardized group (8.1 ± 5.7 vs. 12.2 ± 4.2, mean difference -4.13, 95% confidence interval (-6.74 to -1.53), p = 0.002). However, the arterial partial pressure of the oxygen/fraction of inspired oxygen levels during the surgery showed no significant time-group interaction between the two groups in repeated-measures analysis of variance (p = 0.145). The incidence of a composite of postoperative respiratory complications was comparable between the two groups. Individualized PEEP determined by maximal respiratory compliance during the pneumoperitoneum and steep Trendelenburg position significantly reduced postoperative atelectasis, as evaluated using lung ultrasonography. However, the clinical significance of this finding should be evaluated by a larger clinical trial.","container-title":"Journal of clinical medicine","DOI":"10.3390/jcm10040850","issue":"4","note":"publisher: Multidisciplinary Digital Publishing Institute (MDPI)","page":"850-NA","title":"The Effect of Ventilation with Individualized Positive End-Expiratory Pressure on Postoperative Atelectasis in Patients Undergoing Robot-Assisted Radical Prostatectomy: A Randomized Controlled Trial.","volume":"10","author":[{"family":"Yoon","given":"Hyun Kyu; Kim","suffix":"Bo Rim; Yoon, Susie; Jeong, Young Hyun; Ku, Ja Hyeon; Kim, Won Ho"}],"issued":{"date-parts":[["2021"]]}}},{"id":5108,"uris":["http://zotero.org/users/local/L5HAWlIW/items/8YNSRVG3"],"itemData":{"id":5108,"type":"article-journal","container-title":"Cureus","DOI":"10.7759/cureus.40278","ISSN":"2168-8184","language":"en","source":"DOI.org (Crossref)","title":"Effect of Lung Compliance-Based Optimum Pressure Versus Fixed Positive End-Expiratory Pressure on Lung Atelectasis Assessed by Modified Lung Ultrasound Score in Laparoscopic Gynecological Surgery: A Prospective Randomized Controlled Trial","title-short":"Effect of Lung Compliance-Based Optimum Pressure Versus Fixed Positive End-Expiratory Pressure on Lung Atelectasis Assessed by Modified Lung Ultrasound Score in Laparoscopic Gynecological Surgery","URL":"https://www.cureus.com/articles/136396-effect-of-lung-compliance-based-optimum-pressure-versus-fixed-positive-end-expiratory-pressure-on-lung-atelectasis-assessed-by-modified-lung-ultrasound-score-in-laparoscopic-gynecological-surgery-a-prospective-randomized-controlled-trial","author":[{"family":"Deeparaj","given":"L"},{"family":"Kumar","given":"Rakesh"},{"family":"Patel","given":"Nishant"},{"family":"Ayub","given":"Arshad"},{"family":"Rewari","given":"Vimi"},{"family":"Subramaniam","given":"Rajeshwari"},{"family":"Roy","given":"Kallol Kumar"}],"accessed":{"date-parts":[["2025",4,28]]},"issued":{"date-parts":[["2023",6,12]]}}},{"id":177,"uris":["http://zotero.org/users/local/L5HAWlIW/items/TAVD8H27"],"itemData":{"id":177,"type":"article-journal","abstract":"NA","container-title":"Surgery for obesity and related diseases : official journal of the American Society for Bariatric Surgery","DOI":"10.1016/j.soard.2020.09.023","issue":"2","note":"publisher: Elsevier Inc.","page":"372-378","title":"The use of intraoperative bedside lung ultrasound in optimizing positive end expiratory pressure in obese patients undergoing laparoscopic bariatric surgeries.","volume":"17","author":[{"family":"Elshazly","given":"M.O.; Khair","suffix":"Tamer Mohamed; Bassem, Marina; Mansour, M. A."}],"issued":{"date-parts":[["2020"]]}}},{"id":148,"uris":["http://zotero.org/users/local/L5HAWlIW/items/B5V6G46C"],"itemData":{"id":148,"type":"article-journal","abstract":"Abstract Background Robot-assisted laparoscopic radical prostatectomy requires general anaesthesia, extreme Trendelenburg positioning and capnoperitoneum. Together these promote impaired pulmonary gas exchange caused by atelectasis and may contribute to postoperative pulmonary complications. In morbidly obese patients, a recruitment manoeuvre (RM) followed by individualised PEEP improves intraoperative oxygenation and end-expiratory lung volume (EELV). We hypothesised that individualised PEEP with initial RM similarly improves intraoperative oxygenation and EELV in non-obese individuals undergoing robot-assisted prostatectomy. Methods Forty males (age, 49–76 yr; BMI Results In 20 males randomised to RM/PEEPIND, the median PEEPIND was 14 cm H2O [inter-quartile range, 8–20]. The Pao2/Fio2 was 10.0 kPa higher with RM/PEEPIND before extubation (95% confidence interval [CI], 2.6–17.3 kPa; P=0.001). RM/PEEPIND increased end-expiratory lung volume by 1.49 L (95% CI, 1.09–1.89 L; P Conclusion In non-obese males, an individualised ventilation strategy improved intraoperative oxygenation, which was associated with higher end-expiratory lung volumes during robot-assisted laparoscopic prostatectomy. Clinical trial registration DRKS00004199 (German clinical trials registry)","container-title":"British journal of anaesthesia","DOI":"10.1016/j.bja.2020.05.041","issue":"3","note":"publisher: Oxford University Press","page":"373-382","title":"Individualised positive end-expiratory pressure guided by electrical impedance tomography for robot-assisted laparoscopic radical prostatectomy: a prospective, randomised controlled clinical trial","volume":"125","author":[{"family":"Girrbach","given":"Felix; Petroff","suffix":"David; Schulz, Susann; Hempel, Gunther; Lange, Mirko; Klotz, Carolin; Scherz, Stephanie; Giannella-Neto, Antonio; Beda, Alessandro; Jardim-Neto, Alcendino; Stolzenburg, Jens-Uwe; Reske, Andreas W.; Wrigge, Hermann; Simon, Philipp"}],"issued":{"date-parts":[["2020"]]}}},{"id":1570,"uris":["http://zotero.org/users/local/L5HAWlIW/items/V3SBX9HI"],"itemData":{"id":1570,"type":"article-journal","container-title":"British Journal of Anaesthesia","DOI":"10.1016/j.bja.2023.08.007","ISSN":"00070912","issue":"5","journalAbbreviation":"British Journal of Anaesthesia","language":"en","page":"955-965","source":"DOI.org (Crossref)","title":"Effect of driving pressure-guided positive end-expiratory pressure on postoperative pulmonary complications in patients undergoing laparoscopic or robotic surgery: a randomised controlled trial","title-short":"Effect of driving pressure-guided positive end-expiratory pressure on postoperative pulmonary complications in patients undergoing laparoscopic or robotic surgery","volume":"131","author":[{"family":"Kim","given":"Yoon Jung"},{"family":"Kim","given":"Bo Rim"},{"family":"Kim","given":"Hee Won"},{"family":"Jung","given":"Ji-Yoon"},{"family":"Cho","given":"Hye-Yeon"},{"family":"Seo","given":"Jeoung-Hwa"},{"family":"Kim","given":"Won Ho"},{"family":"Kim","given":"Hee-Soo"},{"family":"Hwangbo","given":"Suhyun"},{"family":"Yoon","given":"Hyun-Kyu"}],"issued":{"date-parts":[["2023",11]]}}},{"id":1577,"uris":["http://zotero.org/users/local/L5HAWlIW/items/2Q6YJM6C"],"itemData":{"id":1577,"type":"article-journal","abstract":"BACKGROUND: Individualized positive end‐expiratory pressure (PEEP) guided by dynamic compliance improves oxygenation and reduces postoperative atelectasis in nonobese patients. The authors hypothesized that dynamic compliance‐guided PEEP could also reduce postoperative atelectasis in patients undergoing bariatric surgery. METHODS: Patients scheduled to undergo laparoscopic bariatric surgery were eligible. Dynamic compliance‐guided PEEP titration was conducted in all patients using a downward approach. A recruitment maneuver (PEEP from 10 to 25 cm H2O at 5‐cm H2O step every 30 s, with 15‐cm H2O driving pressure) was conducted both before and after the titration. Patients were then randomized (1:1) to undergo surgery under dynamic compliance‐guided PEEP (PEEP with highest dynamic compliance plus 2 cm H2O) or PEEP of 8 cm H2O. The primary outcome was postoperative atelectasis, as assessed with computed tomography at 60 to 90 min after extubation, and expressed as percentage to total lung tissue volume. Secondary outcomes included Pao2/inspiratory oxygen fraction (Fio2) and postoperative pulmonary complications. RESULTS: Forty patients (mean ± SD; 28 ± 7 yr of age; 25 females; average body mass index, 41.0 ± 4.7 kg/m2) were enrolled. Median PEEP with highest dynamic compliance during titration was 15 cm H2O (interquartile range, 13 to 17; range, 8 to 19) in the entire sample of 40 patients. The primary outcome of postoperative atelectasis (available in 19 patients in each group) was 13.1 ± 5.3% and 9.5 ± 4.3% in the PEEP of 8 cm H2O and dynamic compliance‐guided PEEP groups, respectively (intergroup difference, 3.7%; 95% CI, 0.5 to 6.8%; P = 0.025). Pao2/Fio2 at 1 h after pneumoperitoneum was higher in the dynamic compliance‐guided PEEP group (397 vs. 337 mmHg; group difference, 60; 95% CI, 9 to 111; P = 0.017) but did not differ between the two groups 30 min after extubation (359 vs. 375 mmHg; group difference, ‐17; 95% CI, ‐53 to 21; P = 0.183). The incidence of postoperative pulmonary complications was 4 of 20 in both groups. CONCLUSIONS: Postoperative atelectasis was lower in patients undergoing laparoscopic bariatric surgery under dynamic compliance‐guided PEEP versus PEEP of 8 cm H2O. Postoperative Pao2/Fio2 did not differ between the two groups.","archive_location":"CN-02581757","container-title":"Anesthesiology","DOI":"10.1097/ALN.0000000000004603","issue":"3","journalAbbreviation":"Anesthesiology","page":"262‐273","title":"Individualized Positive End-expiratory Pressure on Postoperative Atelectasis in Patients with Obesity: a Randomized Controlled Clinical Trial","volume":"139","author":[{"family":"Li","given":"X"},{"family":"Liu","given":"H"},{"family":"Wang","given":"J"},{"family":"Ni","given":"ZL"},{"family":"Liu","given":"ZX"},{"family":"Jiao","given":"JL"},{"family":"Han","given":"Y"},{"family":"Cao","given":"JL"}],"issued":{"date-parts":[["2023"]]}}},{"id":1568,"uris":["http://zotero.org/users/local/L5HAWlIW/items/5DJWX5NC"],"itemData":{"id":1568,"type":"article-journal","abstract":"Abstract\n            \n              Objective\n              To evaluate the effect of the individualized positive end-expiratory pressure (PEEP) lung protection ventilation strategy by combining driving pressure (ΔP) and pulmonary ultrasound (LUS)-based titration on lung function and postoperative cognitive function in patients with chronic obstructive pulmonary disease (COPD) during laparoscopic surgery.\n            \n            \n              Methods\n              \n                A total of 108 patients with COPD undergoing laparoscopic gastrointestinal surgery under general anesthesia were included in this study. They were randomly divided into three groups (n = 36): traditional volume ventilation group (Group C), fixed PEEP 5 cmH\n                2\n                O group (Group P), and ΔP combined with LUS-based PEEP titration in the resuscitation room group (Group T). All three groups were given volume ventilation mode, I:E = 1:2; In group C, VT was 10 mL/kg and PEEP was 0 cmH\n                2\n                O; In groups P and T, VT was 6 mL/kg and PEEP was 5 cmH\n                2\n                O; After mechanical ventilation for 15 min in Group T, ΔP in combination with LUS was used to titrate PEEP. The oxygenation index (PaO2/FiO2), airway platform pressure (Pplat), dynamic lung compliance (Cdyn), Montreal Cognitive Assessment (MoCA), and venous interleukin-6(IL-6) were recorded at the corresponding time points, and the final PEEP value in Group T was recorded.\n              \n            \n            \n              Results\n              \n                The final PEEP value of Group T was (6.4 ± 1.2) cmH\n                2\n                O; Compared with groups C and P: PaO\n                2\n                /FiO\n                2\n                and Cdyn in Group T were significantly increased (\n                P\n                 &lt; 0.05) and value of IL-6 was significantly decreased (\n                P\n                 &lt; 0.05) at the corresponding time points. Compared with group C, the MoCA score on day 7 after surgery in Group T was significantly higher (\n                P\n                 &lt; 0.05).\n              \n            \n            \n              Conclusion\n              Compared with the traditional ventilation strategy, the individualized ΔP combined with LUS-based PEEP titration in patients with COPD during the perioperative period of laparoscopic surgery can play a better role in lung protection and can improve postoperative cognitive function.","container-title":"BMC Pulmonary Medicine","DOI":"10.1186/s12890-023-02471-y","ISSN":"1471-2466","issue":"1","journalAbbreviation":"BMC Pulm Med","language":"en","page":"232","source":"DOI.org (Crossref)","title":"Effect of individualized PEEP titration by ultrasonography on perioperative pulmonary protection and postoperative cognitive function in patients with chronic obstructive pulmonary disease","volume":"23","author":[{"family":"Luo","given":"Lai-feng"},{"family":"Lin","given":"Yu-mei"},{"family":"Liu","given":"Ying"},{"family":"Gao","given":"Xiao-hua"},{"family":"Li","given":"Chui-yu"},{"family":"Zhang","given":"Xiao-qi"},{"family":"Wu","given":"Jian-hua"},{"family":"Chen","given":"Zhi-yuan"}],"issued":{"date-parts":[["2023",6,28]]}}},{"id":22,"uris":["http://zotero.org/users/local/L5HAWlIW/items/J95XU98Y"],"itemData":{"id":22,"type":"article-journal","container-title":"Surgery","DOI":"10.1016/j.surg.2021.01.047","ISSN":"00396060","issue":"1","journalAbbreviation":"Surgery","language":"en","note":"number: 1","page":"277-283","source":"DOI.org (Crossref)","title":"Effect of driving pressure-guided positive end-expiratory pressure (PEEP) titration on postoperative lung atelectasis in adult patients undergoing elective major abdominal surgery: A randomized controlled trial","title-short":"Effect of driving pressure-guided positive end-expiratory pressure (PEEP) titration on postoperative lung atelectasis in adult patients undergoing elective major abdominal surgery","volume":"170","author":[{"family":"Mini","given":"Gouri"},{"family":"Ray","given":"Bikash R."},{"family":"Anand","given":"Rahul K."},{"family":"Muthiah","given":"Thilaka"},{"family":"Baidya","given":"Dalim K."},{"family":"Rewari","given":"Vimi"},{"family":"Sahni","given":"Peush"},{"family":"Maitra","given":"Souvik"}],"issued":{"date-parts":[["2021",7]]}}},{"id":1667,"uris":["http://zotero.org/users/local/L5HAWlIW/items/C4CXU7ZP"],"itemData":{"id":1667,"type":"article-journal","abstract":"Objective To investigate the effect of individualized positive end expiratory pressure (PEEP) setting guided by chest electrical impedance tomography (EIT) on the incidence of hypoxemia in elderly patients undergoing robot‑assisted radical prostatectomy in the post anesthesia care unit (PACU). Methods From September 2020 to October 2021, sixty elderly patients, with the American Association of Anesthesiologists (ASA) of Grade Ⅰ to Ⅲ, who underwent selective robot‑assisted radical prostatectomy under general anesthesia in the Cancer Hospital Affiliated to Fudan University were selected. The participants were divided into two groups by the minimum randomized grouping method: EIT‑PEEP group (EP group, n=30) and fixed PEEP group (FP group, n=30). After completion of tracheal intubation and establishment of pneumoperitoneum flexion posture, the individualized PEEP setting was guided by EIT in EP group, and the PEEP setting in FP group was 5 cmH2O (1 cmH2O=0.098 kPa) to the end of operation. During the operation, the ventilation mode of pressure regulation volume control was adopted. The driving pressure, dynamic lung compliance (Cdyn), oxygenation index and hemodynamics were recorded at 5 min (T1), 30 min (T2), 60 min (T3) after PEEP setting and at the time of tracheal catheter removal (T4) in both groups. The primary end point was the incidence of hypoxemia in PACU after extubation. Results The incidence of hypoxemia after extubation was 3.3% (1/30) in EP group and 26.7% (8/ 30) in FP group (P=0.030). The difference of driving pressure between the two groups at T2 [(13.1± 2.4) cmH2O vs (14.9±2.9) cmH2O, P=0.012], T3 [(12.7±2.4) cmH2O vs (15.6±2.8) cmH2O, P&lt;0.001] was statistically significant. In EP group, Cdyn was improved at T2 [(38.4±7.2) ml/cmH2O vs (31.9±5.2) ml/cmH2O, P=0.006] and T3 [(37.5</w:instrText>
      </w:r>
      <w:r w:rsidR="007E51AA">
        <w:rPr>
          <w:rFonts w:cs="Times New Roman"/>
          <w:lang w:val="en-US"/>
        </w:rPr>
        <w:instrText>��</w:instrText>
      </w:r>
      <w:r w:rsidR="007E51AA">
        <w:rPr>
          <w:lang w:val="en-US"/>
        </w:rPr>
        <w:instrText xml:space="preserve">9.0) ml/cmH2O vs (30.4±5.9) ml/cmH2O, P=0.001]. In EP group, PaO2/FiO2 increased at T1 [(465.7±84.5) mmHg vs (383.5±58.0) mmHg, 1 mmHg=0.133 kPa, P&lt; 0.001], T2 [(504.7±105.8) mmHg vs (418.9±73.7) mmHg, P=0.001], T3 [(520.7±92.2) mmHg vs (423.2±90.7) mmHg, P&lt;0.001], T4 [(368.7±42.0) mmHg vs (339.5±54.9) mmHg, P=0.024]. Conclusion The individualized PEEP setting guided by EIT can reduce the incidence of hypoxemia in elderly patients undergoing robot assisted radical prostatectomy in PACU.","archive_location":"CN-02613242","container-title":"Zhonghua yi xue za zhi","DOI":"10.3760/cma.j.cn112137-20220415-00818","issue":"47","journalAbbreviation":"Zhonghua yi xue za zhi","page":"3727‐3733","title":"Effect of EIT-guided individualized PEEP setting on the incidence of hypoxemia in elderly patients undergoing robot-assisted radical prostatectomy","volume":"102","author":[{"family":"Pan","given":"LL"},{"family":"Gao","given":"LL"},{"family":"Yang","given":"L"},{"family":"Pan","given":"CX"},{"family":"Yin","given":"YH"},{"family":"Zhu","given":"Y"},{"family":"Zhang","given":"J"}],"issued":{"date-parts":[["2022"]]}}},{"id":168,"uris":["http://zotero.org/users/local/L5HAWlIW/items/67NQ5YJS"],"itemData":{"id":168,"type":"article-journal","abstract":"BACKGROUND The creation of pneumoperitoneum during laparoscopic surgery can lead to adverse effects on the respiratory system. Positive end-expiratory pressure (PEEP) plays an important role in mechanical ventilation during laparoscopic surgery. OBJECTIVE To evaluate whether PEEP setting guided by oesophageal pressure (Poeso) measurement would affect oxygenation and respiratory mechanics during laparoscopic gynaecological surgery. DESIGN A randomised controlled study. SETTING A single-centre trial from March 2018 to June 2018. PATIENTS Forty-four adult patients undergoing laparoscopic gynaecological surgery with anticipated duration of surgery more than 2 h. INTERVENTION PEEP set according to Poeso measurement (intervention group) versus PEEP constantly set at 5 cmH2O (control group). MAIN OUTCOME MEASURES Gas exchange and respiratory mechanics after induction and intubation (T0) and at 15 and 60 min after initiation of pneumoperitoneum (T1 and T2, respectively). RESULTS PEEP during pneumoperitoneum was significantly higher in the intervention group than in the control group (T1, 12.5 ± 1.9 vs. 5.0 ± 0.0 cmH2O and T2, 12.4 ± 1.9 vs. 5.0 ± 0.0 cmH2O, both P &lt; 0.001). Partial pressures of oxygen decreased significantly from baseline during pneumoperitoneum in the control group but not in the intervention group. Nevertheless, the changes in partial pressures of oxygen did not differ between groups. Compliance of the respiratory system (CRS) significantly decreased and driving pressure significantly increased during pneumoperitoneum in both groups. However, the changes in CRS and driving pressure were significantly less in the intervention group. Transpulmonary pressure during expiration was maintained in the intervention group while it decreased significantly in the control group. CONCLUSION PEEP setting guided by Poeso measurement showed no beneficial effects in terms of oxygenation but respiratory mechanics were better during laparoscopic gynaecological surgery. TRIAL REGISTRATION ClinicalTrials.gov identifier: NCT03256396.","container-title":"European journal of anaesthesiology","DOI":"10.1097/eja.0000000000001204","issue":"11","note":"publisher: Wolters Kluwer Health","page":"1032-1039","title":"Effects of intra-operative positive end-expiratory pressure setting guided by oesophageal pressure measurement on oxygenation and respiratory mechanics during laparoscopic gynaecological surgery: A randomised controlled trial.","volume":"37","author":[{"family":"Piriyapatsom","given":"Annop; Phetkampang","suffix":"Sanchai"}],"issued":{"date-parts":[["2020"]]}}},{"id":1566,"uris":["http://zotero.org/users/local/L5HAWlIW/items/5KHQPKBX"],"itemData":{"id":1566,"type":"article-journal","container-title":"Egyptian Journal of Anaesthesia","DOI":"10.1080/11101849.2023.2230050","ISSN":"1110-1849","issue":"1","journalAbbreviation":"Egyptian Journal of Anaesthesia","language":"en","page":"496-501","source":"DOI.org (Crossref)","title":"Effect of individualized intraoperative lung recruitment maneuver on postoperative pulmonary complications in patients undergoing upper abdominal surgeries under general anesthesia","volume":"39","author":[{"family":"Mohammad Salama","given":"Mohammad Elhossieny"},{"family":"El-Taher","given":"Ezzat Mohamed"},{"family":"Abdel-Rahman Al-Touny","given":"Ahmad Hamed"},{"family":"Ismail","given":"Reda Aboelmagd"},{"family":"Abdel-Ghaffar","given":"Mohamed Emad Eldin"}],"issued":{"date-parts":[["2023",12,31]]}}},{"id":157,"uris":["http://zotero.org/users/local/L5HAWlIW/items/9I65CFBK"],"itemData":{"id":157,"type":"article-journal","abstract":"Background The optimal positive end-expiratory pressure (PEEP) to prevent postoperative pulmonary complications (PPCs) remains unclear. Recent evidence showed that driving pressure was closely related to PPCs. In this study, we tested the hypothesis that an individualized PEEP guided by minimum driving pressure during abdominal surgery would reduce the incidence of PPCs. Methods This single-centered, randomized controlled trial included a total of 148 patients scheduled for open upper abdominal surgery. Patients were randomly assigned to receive an individualized PEEP guided by minimum driving pressure or an empiric fixed PEEP of 6 cm H2O. The primary outcome was the incidence of clinically significant PPCs within the first 7 days after surgery, using a χ2 test. Secondary outcomes were the severity of PPCs, the area of atelectasis, and pleural effusion. Other outcomes, such as the incidence of different types of PPCs (including hypoxemia, atelectasis, pleural effusion, dyspnea, pneumonia, pneumothorax, and acute respiratory distress syndrome), intensive care unit (ICU) admission rate, length of hospital stay, and 30-day mortality were also explored. Results The median value of PEEP in the individualized group was 10 cm H2O. The incidence of clinically significant PPCs was significantly lower in the individualized PEEP group compared with that in the fixed PEEP group (26 of 67 [38.8%] vs 42 of 67 [62.7%], relative risk = 0.619, 95% confidence intervals, 0.435-0.881; P = .006). The overall severity of PPCs and the area of atelectasis were also significantly diminished in the individualized PEEP group. Higher respiratory compliance during surgery and improved intra- and postoperative oxygenation was observed in the individualized group. No significant differences were found in other outcomes between the 2 groups, such as ICU admission rate or 30-day mortality. Conclusions The application of individualized PEEP based on minimum driving pressure may effectively decrease the severity of atelectasis, improve oxygenation, and reduce the incidence of clinically significant PPCs after open upper abdominal surgery.","container-title":"Anesthesia and analgesia","DOI":"10.1213/ane.0000000000005575","issue":"5","note":"publisher: Lippincott Williams and Wilkins","page":"1197-1205","title":"Driving Pressure-Guided Individualized Positive End-Expiratory Pressure in Abdominal Surgery: A Randomized Controlled Trial.","volume":"133","author":[{"family":"Zhang","given":"Chengmi; Xu","suffix":"Fengying; Li, Weiwei; Tong, Xingyu; Xia, Ran; Wang, Wei; Du, Jianer; Shi, Xueyin"}],"issued":{"date-parts":[["2021"]]}}},{"id":1556,"uris":["http://zotero.org/users/local/L5HAWlIW/items/BRUJD782"],"itemData":{"id":1556,"type":"article-journal","abstract":"Abstract\n            \n              To investigate whether driving pressure–guided ventilation could contribute to a more homogeneous distribution in the lung for gynecological laparoscopy. Chinese patients were randomized, after pneumoperitoneum, to receive either positive end expiratory pressure (PEEP) of 5 cm H\n              2\n              O (control group), or individualized PEEP producing the lowest driving pressure (titration group). Ventilation homogeneity is quantified as the global inhomogeneity (GI) index based on electrical impedance tomography, with a lower index implying more homogeneous ventilation. The perioperative arterial oxygenation index and respiratory system mechanics were also recorded. Blood samples were collected for lung injury biomarkers including interleukin-10, neutrophil elastase, and Clara Cell protein-16. A total of 48 patients were included for analysis. We observed a significant increase in the GI index immediately after tracheal extubation compared to preinduction in the control group (\n              p\n               = 0.040) but not in the titration group (\n              p\n               = 0.279). Furthermore, the GI index was obviously lower in the titration group than in the control group [0.390 (0.066) vs 0.460 (0.074),\n              p\n               = 0.0012]. The oxygenation index and respiratory compliance were significantly higher in the titration group than in the control group. No significant differences in biomarkers or hemodynamics were detected between the two groups. Driving pressure–guided PEEP led to more homogeneous ventilation, as well as improved gas exchange and respiratory compliance for patients undergoing gynecological laparoscopy.\n            \n            \n              Trial Registration\n              : ClinicalTrials.gov NCT04374162; first registration on 05/05/2020.","container-title":"Scientific Reports","DOI":"10.1038/s41598-022-26144-8","ISSN":"2045-2322","issue":"1","journalAbbreviation":"Sci Rep","language":"en","page":"21687","source":"DOI.org (Crossref)","title":"Driving pressure-guided ventilation improves homogeneity in lung gas distribution for gynecological laparoscopy: a randomized controlled trial","title-short":"Driving pressure-guided ventilation improves homogeneity in lung gas distribution for gynecological laparoscopy","volume":"12","author":[{"family":"Zhang","given":"Wei"},{"family":"Liu","given":"Feifei"},{"family":"Zhao","given":"Zhanqi"},{"family":"Shao","given":"Chunqing"},{"family":"Xu","given":"Xin"},{"family":"Ma","given":"Jiajia"},{"family":"Han","given":"Ruquan"}],"issued":{"date-parts":[["2022",12,15]]}}}],"schema":"https://github.com/citation-style-language/schema/raw/master/csl-citation.json"} </w:instrText>
      </w:r>
      <w:r w:rsidR="00B52617" w:rsidRPr="00483D15">
        <w:rPr>
          <w:lang w:val="en-US"/>
        </w:rPr>
        <w:fldChar w:fldCharType="separate"/>
      </w:r>
      <w:r w:rsidR="007E51AA" w:rsidRPr="007E51AA">
        <w:rPr>
          <w:rFonts w:cs="Times New Roman"/>
          <w:kern w:val="0"/>
        </w:rPr>
        <w:t>[1,13–15,17,47,49,52,54,56–60,64,65]</w:t>
      </w:r>
      <w:r w:rsidR="00B52617" w:rsidRPr="00483D15">
        <w:rPr>
          <w:lang w:val="en-US"/>
        </w:rPr>
        <w:fldChar w:fldCharType="end"/>
      </w:r>
      <w:r w:rsidR="007378F5" w:rsidRPr="00483D15">
        <w:rPr>
          <w:lang w:val="en-US"/>
        </w:rPr>
        <w:t>, was approximately 2.5 cm H</w:t>
      </w:r>
      <w:r w:rsidR="007378F5" w:rsidRPr="0046796C">
        <w:rPr>
          <w:vertAlign w:val="subscript"/>
          <w:lang w:val="en-US"/>
        </w:rPr>
        <w:t>2</w:t>
      </w:r>
      <w:r w:rsidR="007378F5" w:rsidRPr="00483D15">
        <w:rPr>
          <w:lang w:val="en-US"/>
        </w:rPr>
        <w:t xml:space="preserve">O higher in patients receiving individually titrated PEEP, a statistically significant difference compared to the </w:t>
      </w:r>
      <w:r w:rsidR="0046796C">
        <w:rPr>
          <w:lang w:val="en-US"/>
        </w:rPr>
        <w:t>CG</w:t>
      </w:r>
      <w:r w:rsidR="007378F5" w:rsidRPr="00483D15">
        <w:rPr>
          <w:lang w:val="en-US"/>
        </w:rPr>
        <w:t xml:space="preserve"> (MD = 2.49 cm H</w:t>
      </w:r>
      <w:r w:rsidR="007378F5" w:rsidRPr="0046796C">
        <w:rPr>
          <w:vertAlign w:val="subscript"/>
          <w:lang w:val="en-US"/>
        </w:rPr>
        <w:t>2</w:t>
      </w:r>
      <w:r w:rsidR="007378F5" w:rsidRPr="00483D15">
        <w:rPr>
          <w:lang w:val="en-US"/>
        </w:rPr>
        <w:t>O, 95% CI: 1.08 to 3.90, I² = 92%, p = 0.002)</w:t>
      </w:r>
      <w:r w:rsidR="00617F61">
        <w:rPr>
          <w:lang w:val="en-US"/>
        </w:rPr>
        <w:t xml:space="preserve">, seen on </w:t>
      </w:r>
      <w:r w:rsidR="00E924DC">
        <w:rPr>
          <w:lang w:val="en-US"/>
        </w:rPr>
        <w:fldChar w:fldCharType="begin"/>
      </w:r>
      <w:r w:rsidR="00E924DC">
        <w:rPr>
          <w:lang w:val="en-US"/>
        </w:rPr>
        <w:instrText xml:space="preserve"> REF _Ref204003979 \h </w:instrText>
      </w:r>
      <w:r w:rsidR="00E924DC">
        <w:rPr>
          <w:lang w:val="en-US"/>
        </w:rPr>
      </w:r>
      <w:r w:rsidR="00E924DC">
        <w:rPr>
          <w:lang w:val="en-US"/>
        </w:rPr>
        <w:fldChar w:fldCharType="separate"/>
      </w:r>
      <w:proofErr w:type="spellStart"/>
      <w:r w:rsidR="007F7DB3">
        <w:t>Figure</w:t>
      </w:r>
      <w:proofErr w:type="spellEnd"/>
      <w:r w:rsidR="007F7DB3">
        <w:t xml:space="preserve"> </w:t>
      </w:r>
      <w:r w:rsidR="007F7DB3">
        <w:rPr>
          <w:noProof/>
        </w:rPr>
        <w:t>10</w:t>
      </w:r>
      <w:r w:rsidR="00E924DC">
        <w:rPr>
          <w:lang w:val="en-US"/>
        </w:rPr>
        <w:fldChar w:fldCharType="end"/>
      </w:r>
      <w:r w:rsidR="007378F5" w:rsidRPr="00483D15">
        <w:rPr>
          <w:lang w:val="en-US"/>
        </w:rPr>
        <w:t>.</w:t>
      </w:r>
    </w:p>
    <w:p w14:paraId="7991CD86" w14:textId="77777777" w:rsidR="00E924DC" w:rsidRDefault="00E924DC" w:rsidP="00E924DC">
      <w:pPr>
        <w:keepNext/>
      </w:pPr>
      <w:r>
        <w:rPr>
          <w:noProof/>
        </w:rPr>
        <w:lastRenderedPageBreak/>
        <w:drawing>
          <wp:inline distT="0" distB="0" distL="0" distR="0" wp14:anchorId="61707DE3" wp14:editId="47C7D57F">
            <wp:extent cx="5400040" cy="6477000"/>
            <wp:effectExtent l="19050" t="19050" r="10160" b="19050"/>
            <wp:docPr id="1031129336" name="Picture 2"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29336" name="Picture 2" descr="A screenshot of a document&#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6477000"/>
                    </a:xfrm>
                    <a:prstGeom prst="rect">
                      <a:avLst/>
                    </a:prstGeom>
                    <a:noFill/>
                    <a:ln>
                      <a:solidFill>
                        <a:schemeClr val="tx1"/>
                      </a:solidFill>
                    </a:ln>
                  </pic:spPr>
                </pic:pic>
              </a:graphicData>
            </a:graphic>
          </wp:inline>
        </w:drawing>
      </w:r>
    </w:p>
    <w:p w14:paraId="12296450" w14:textId="2228FB34" w:rsidR="00E924DC" w:rsidRPr="00483D15" w:rsidRDefault="00E924DC" w:rsidP="00E924DC">
      <w:pPr>
        <w:pStyle w:val="Caption"/>
        <w:rPr>
          <w:lang w:val="en-US"/>
        </w:rPr>
      </w:pPr>
      <w:bookmarkStart w:id="47" w:name="_Ref204003979"/>
      <w:bookmarkStart w:id="48" w:name="_Toc204637063"/>
      <w:proofErr w:type="spellStart"/>
      <w:r>
        <w:t>Figure</w:t>
      </w:r>
      <w:proofErr w:type="spellEnd"/>
      <w:r>
        <w:t xml:space="preserve"> </w:t>
      </w:r>
      <w:fldSimple w:instr=" SEQ Figure \* ARABIC ">
        <w:r w:rsidR="007F7DB3">
          <w:rPr>
            <w:noProof/>
          </w:rPr>
          <w:t>10</w:t>
        </w:r>
      </w:fldSimple>
      <w:bookmarkEnd w:id="47"/>
      <w:r>
        <w:t xml:space="preserve"> - </w:t>
      </w:r>
      <w:r w:rsidRPr="00345711">
        <w:t xml:space="preserve">Forest </w:t>
      </w:r>
      <w:proofErr w:type="spellStart"/>
      <w:r w:rsidRPr="00345711">
        <w:t>plot</w:t>
      </w:r>
      <w:proofErr w:type="spellEnd"/>
      <w:r w:rsidRPr="00345711">
        <w:t xml:space="preserve"> of </w:t>
      </w:r>
      <w:proofErr w:type="spellStart"/>
      <w:r w:rsidRPr="00345711">
        <w:t>mean</w:t>
      </w:r>
      <w:proofErr w:type="spellEnd"/>
      <w:r w:rsidRPr="00345711">
        <w:t xml:space="preserve"> </w:t>
      </w:r>
      <w:proofErr w:type="spellStart"/>
      <w:r w:rsidRPr="00345711">
        <w:t>differences</w:t>
      </w:r>
      <w:proofErr w:type="spellEnd"/>
      <w:r w:rsidRPr="00345711">
        <w:t xml:space="preserve"> of </w:t>
      </w:r>
      <w:proofErr w:type="spellStart"/>
      <w:r>
        <w:t>plateau</w:t>
      </w:r>
      <w:proofErr w:type="spellEnd"/>
      <w:r w:rsidRPr="00345711">
        <w:t xml:space="preserve"> </w:t>
      </w:r>
      <w:proofErr w:type="spellStart"/>
      <w:r w:rsidRPr="00345711">
        <w:t>pressure</w:t>
      </w:r>
      <w:proofErr w:type="spellEnd"/>
      <w:r w:rsidRPr="00345711">
        <w:t xml:space="preserve"> (</w:t>
      </w:r>
      <w:proofErr w:type="spellStart"/>
      <w:r w:rsidRPr="00345711">
        <w:t>P</w:t>
      </w:r>
      <w:r>
        <w:t>plat</w:t>
      </w:r>
      <w:proofErr w:type="spellEnd"/>
      <w:r w:rsidRPr="00345711">
        <w:t xml:space="preserve">) </w:t>
      </w:r>
      <w:proofErr w:type="spellStart"/>
      <w:r w:rsidRPr="00345711">
        <w:t>between</w:t>
      </w:r>
      <w:proofErr w:type="spellEnd"/>
      <w:r w:rsidRPr="00345711">
        <w:t xml:space="preserve"> </w:t>
      </w:r>
      <w:proofErr w:type="spellStart"/>
      <w:r w:rsidRPr="00345711">
        <w:t>groups</w:t>
      </w:r>
      <w:bookmarkEnd w:id="48"/>
      <w:proofErr w:type="spellEnd"/>
    </w:p>
    <w:p w14:paraId="5495115F" w14:textId="25C273B3" w:rsidR="00650CBF" w:rsidRPr="00483D15" w:rsidRDefault="00650CBF" w:rsidP="0036711F">
      <w:pPr>
        <w:pStyle w:val="Heading4"/>
        <w:rPr>
          <w:lang w:val="en-US"/>
        </w:rPr>
      </w:pPr>
      <w:r w:rsidRPr="00483D15">
        <w:rPr>
          <w:lang w:val="en-US"/>
        </w:rPr>
        <w:t xml:space="preserve">8.1.4.5. Duration of </w:t>
      </w:r>
      <w:proofErr w:type="spellStart"/>
      <w:r w:rsidRPr="00483D15">
        <w:rPr>
          <w:lang w:val="en-US"/>
        </w:rPr>
        <w:t>Anaesthesia</w:t>
      </w:r>
      <w:proofErr w:type="spellEnd"/>
      <w:r w:rsidRPr="00483D15">
        <w:rPr>
          <w:lang w:val="en-US"/>
        </w:rPr>
        <w:t xml:space="preserve"> and Surgery</w:t>
      </w:r>
    </w:p>
    <w:p w14:paraId="1FB85AC4" w14:textId="58ED14C2" w:rsidR="00650CBF" w:rsidRDefault="00D23AE4" w:rsidP="0036711F">
      <w:pPr>
        <w:rPr>
          <w:lang w:val="en-US"/>
        </w:rPr>
      </w:pPr>
      <w:r w:rsidRPr="00483D15">
        <w:rPr>
          <w:lang w:val="en-US"/>
        </w:rPr>
        <w:t>According to our analysis, both the duration of anesthesia (19 studies, 1,822 patients)</w:t>
      </w:r>
      <w:r w:rsidR="001F3E9D">
        <w:rPr>
          <w:lang w:val="en-US"/>
        </w:rPr>
        <w:t xml:space="preserve"> </w:t>
      </w:r>
      <w:r w:rsidR="00F92D92" w:rsidRPr="00483D15">
        <w:rPr>
          <w:lang w:val="en-US"/>
        </w:rPr>
        <w:fldChar w:fldCharType="begin"/>
      </w:r>
      <w:r w:rsidR="00201C16">
        <w:rPr>
          <w:lang w:val="en-US"/>
        </w:rPr>
        <w:instrText xml:space="preserve"> ADDIN ZOTERO_ITEM CSL_CITATION {"citationID":"WDZPa6uC","properties":{"formattedCitation":"[1,3,6,13,15,45,46,48,52\\uc0\\u8211{}56,58,59,63\\uc0\\u8211{}65,67]","plainCitation":"[1,3,6,13,15,45,46,48,52–56,58,59,63–65,67]","noteIndex":0},"citationItems":[{"id":147,"uris":["http://zotero.org/users/local/L5HAWlIW/items/A8UQPRVS"],"itemData":{"id":147,"type":"article-journal","abstract":"Editor’s PerspectiveWhat We Already Know about This TopicIn patients with adult respiratory distress syndrome, physiologic tidal volume and positive end-expiratory pressure (PEEP) are protectiveIn patients without lung diseases undergoing mechanical ventilation under general anesthesia, optimal PEEP","container-title":"Anesthesiology","DOI":"10.1097/aln.0000000000002435","issue":"6","note":"publisher: Lippincott Williams and Wilkins","page":"1070-1081","title":"Individual Positive End-expiratory Pressure Settings Optimize Intraoperative Mechanical Ventilation and Reduce Postoperative Atelectasis","volume":"129","author":[{"family":"Pereira","given":"Sérgio; Tucci","suffix":"Mauro R.; Morais, Caio C. A.; Simões, Claudia Marquez; Tonelotto, Bruno Francisco Freitas; Pompeo, Michel S.; Kay, Fernando Uliana; Pelosi, Paolo; Vieira, Joaquim Edson; Amato, Marcelo B. P."}],"issued":{"date-parts":[["2018"]]}}},{"id":187,"uris":["http://zotero.org/users/local/L5HAWlIW/items/8MR6RMK8"],"itemData":{"id":187,"type":"article-journal","abstract":"This study aimed to observe the effects of lung-protective ventilation (LPV) on oxygenation index (OI) and postoperative pulmonary complications (PPCs) after laparoscopic radical gastrectomy in middle-aged and elderly patients. A total of 120 patients who were scheduled to undergo laparoscopic radical gastrectomy with an expected time of &gt;3 h were randomly divided into conventional ventilation (CV group) with tidal volume (TV) of 10 mL/kg without positive end-expiratory pressure (PEEP), and lung-protective ventilation (PV group) with 7 mL/kg TV and personal level of PEEP with regular recruitment maneuver every 30 min. Measurements of OI, modified clinical pulmonary infection score (mCPIS), and PPCs were assessed during the perioperative period. Fifty-seven patients in the CV group and 58 in the PV group participated in the data analysis. Patients in the PV group showed better pulmonary dynamic compliance, OI, and peripheral capillary oxygen saturation during and after surgery. The mCPIS was significantly lower in the PV group than in the CV group after surgery. The incidence rate of PPCs was lower in the PV group than in the CV group and the difference was significant in patients whose ventilation time was longer than 6 h in both groups. LPV during laparoscopic radical gastrectomy significantly improved pulmonary oxygenation function and reduced postoperative mCPIS and the incidence of PPCs during the early period after surgery of middle-aged and elderly patients, especially patients whose mechanical ventilation time was longer than 6 h.","container-title":"Brazilian journal of medical and biological research = Revista brasileira de pesquisas medicas e biologicas","DOI":"10.1590/1414-431x20198523","issue":"6","note":"publisher: Associacao Brasileira de Divulgacao Cientifica","page":"e8523-NA","title":"Effect of intraoperative lung-protective mechanical ventilation on pulmonary oxygenation function and postoperative pulmonary complications after laparoscopic radical gastrectomy.","volume":"52","author":[{"family":"Liu","given":"Jing; Meng","suffix":"Zhipeng; Lv, Ran; Zhang, Yaping; Wang, Gaojian; Xie, Junran"}],"issued":{"date-parts":[["2019"]]}}},{"id":167,"uris":["http://zotero.org/users/local/L5HAWlIW/items/53VQRNW3"],"itemData":{"id":167,"type":"article-journal","abstract":"Applying lung protective mechanical ventilation (LPV) during general anaesthesia even in patients with non-injured lungs is recommended. However, the effects of an individual PEEP-optimisation on respiratory mechanics, oxygenation and their potential correlation with the inflammatory response and postoperative complications have not been evaluated have not been compared to standard LPV in patients undergoing major abdominal surgery. Thirty-nine patients undergoing open radical cystectomy were enrolled in this study. In the study group (SG) optimal PEEP was determined by a decremental titration procedure and defined as the PEEP value resulting the highest static pulmonary compliance. In the control group (CG) PEEP was set to 6 cmH2O. Primary endpoints were intraoperative respiratory mechanics and gas exchange parameters. Secondary outcomes were perioperative procalcitonin kinetics and postoperative pulmonary complications. Optimal PEEP levels (median = 10, range: 8–14 cmH2O), PaO2/FiO2 (451.24 ± 121.78 mmHg vs. 404.15 ± 115.87 mmHg, P = 0.005) and static pulmonary compliance (52.54 ± 13.59 ml cmH2O-1 vs. 45.22 ± 9.13 ml cmH2O-1, P &lt; 0.0001) were significantly higher, while driving pressure (8.26 ± 1.74 cmH2O vs. 9.73 ± 4.02 cmH2O, P &lt; 0.0001) was significantly lower in the SG as compared to the CG. No significant intergroup differences were found in procalcitonin kinetics (P = 0.076). Composite outcome results indicated a non-significant reduction of postoperative complications in the SG. Intraoperative PEEP-optimization resulted in significant improvement in gas exchange and pulmonary mechanics as compared to standard LPV. Whether these have any effect on short and long term outcomes require further investigations. Trial registration: Clinicaltrials.gov, identifier: NCT02931409.","container-title":"Journal of clinical monitoring and computing","DOI":"10.1007/s10877-020-00519-6","issue":"3","note":"publisher: Springer Netherlands","page":"469-482","title":"Effects of intraoperative positive end-expiratory pressure optimization on respiratory mechanics and the inflammatory response: a randomized controlled trial","volume":"35","author":[{"family":"Ruszkai","given":"Zoltán; Kiss","suffix":"Erika; László, Ildikó; Bokrétás, Gergely Péter; Vizserálek, Dóra; Vámossy, Ildikó; Surány, Erika; Buzogány, István; Bajory, Zoltán; Molnár, Zsolt"}],"issued":{"date-parts":[["2020"]]}}},{"id":178,"uris":["http://zotero.org/users/local/L5HAWlIW/items/BNXF362C"],"itemData":{"id":178,"type":"article-journal","abstract":"NA","container-title":"The Lancet. Respiratory medicine","DOI":"10.1016/s2213-2600(18)30024-9","issue":"3","note":"publisher: Elsevier Limited","page":"193-203","title":"Individualised perioperative open-lung approach versus standard protective ventilation in abdominal surgery (iPROVE): a randomised controlled trial.","volume":"6","author":[{"family":"Ferrando","given":"Carlos; Soro","suffix":"Marina; Unzueta, Carmen; Suarez-Sipmann, Fernando; Canet, Jaume; Librero, Julián; Pozo, Natividad; Peiró, Salvador; Llombart, Alicia; León, Irene; India, Inmaculada; Aldecoa, Cesar; Diaz-Cambronero, Oscar; Pestaña, David; Redondo, Francisco J; Garutti, Ignacio; Balust, Jaume; García, Jose Ignacio; Ibáñez, Maite; Granell, M.; Rodríguez, Aurelio; Gallego, Lucía; de la Matta, Manuel; González, Rafael; Brunelli, Andrea; García, Javier Contreras; Rovira, Lucas; Barrios, Francisco; Torres, Vicente; Hernández, Samuel; Gracia, Estefania; Giné, Marta; Garcia, Maria; Garcia, Nuria; Miguel, Lisset; Sánchez, Sergio; Piñeiro, Patricia; Pujol, Roger; García-del-Valle, Santiago; Valdivia, José; Hernández, María; Padrón, Oto; Colás, Ana; Puig, Jaume; Azparren, Gonzalo; Tusman, Gerardo; Villar, Jesús; Belda, Javier; Acosta, Jesús; Aguilar, Gerardo; Alberola, María José; Alcón, Amalia; Alonso, Jose M.; Alonso, María Dolores; Anaya, Rafael; Argente, María Pilar; Agilaga, Marta; Arocas, Blanca; Asensio, Ana; Ayas, Begoña; Ayuso, Mercedes; Balandrón, Victor; Del Barrio, Maria; Bejarano, Natalia; Benítez, Inmaculada; Cabrera, Sergio; Carbonell, José A.; Carramiñana, Albert; Carrizo, Juan; Cegarra, Virginia; Chamorro, Estefanía; Charco, Pedro; Cruz, Patricia; Daviu, Francisco; De Fez, Mario; de Miguel, Angeles; Del Río, Elena; Delgado, Carlos; Díaz, Ruben; Díaz, Susana; Díez, Fernando; Dosdá, Rosa; Duca, Alejandro; Etulain, Ma Justina; Fernández, Carmen; Franco, Tania; Fuentes, Isabel; Gallego, Clara; Gallego-Casilda, Alberto; Galve, Ana Isabel; Garcés, Cristina; García, Mercedes; Garcia, Pablo; Garrigues, Beatriz; Gilabert, Vicente; González, Domingo; Gutierrez, Andrea; Hernández, Inmaculada; Izquierdo, Ana; Jurado, Ana; Katime, Antonio; Llamazares, Eduardo; Lardies, Rosa; Lisbona, Cristina; López-Herrera, Daniel; López, Ramiro; Lozano, Angels; Lozano, Elena; Marcos, José M.; Martín, Silvia; Martínez, Nilda; Martínez, Rocío; Martínez-Pallí, Graciella; Mazzinari, Guido; Miñana, Amanda; Moral, Victoria; Moreno, Tania; Mugarra, Ana; Muñoz, Lorena; Navarro, José I.; Olmedilla, Luis; Olmedo, Jonathan; Ojeda, Nazario; Parera, Ana; Parra, María Asunción; Parrilla, Cristina; Pastor, Ernesto; Peña, Natalia; Pérez, Ana María; Pérez, Jose María; Piqueras, Laura; Rico-Feijoo, Jesús; Rodríguez, Rayco; Román, Javier Ignacio; Romero, Antonio; Romero, Carolina; Romero, Esther; Ruiz, Isabel; Sánchez, Ester; Sandín, Francisco; Serralta, Ferran; Socorro, Tania; Soriano, Laura; Tisner, Manuel; Valencia, Lucía; Valls, Paola; Vaquero, Laura; Varón, Viviana; Vila, María; Villazala, Rubén; Villena, Abigail; Zapatero, Sara"}],"issued":{"date-parts":[["2018"]]}}},{"id":143,"uris":["http://zotero.org/users/local/L5HAWlIW/items/DLC97TPW"],"itemData":{"id":143,"type":"article-journal","abstract":"For patients undergoing robot-assisted radical prostatectomy, the pneumoperitoneum with a steep Trendelenburg position could worsen intraoperative respiratory mechanics and result in postoperative atelectasis. We investigated the effects of individualized positive end-expiratory pressure (PEEP) on postoperative atelectasis, evaluated using lung ultrasonography. Sixty patients undergoing robot-assisted radical prostatectomy were randomly allocated into two groups. Individualized groups (n = 30) received individualized PEEP determined by a decremental PEEP trial using 20 to 7 cm H2O, aiming at maximizing respiratory compliance, whereas standardized groups (n = 30) received a standardized PEEP of 7 cm H2O during the pneumoperitoneum. Ultrasound examination was performed on 12 sections of thorax, and the lung ultrasound score was measured as 0-3 by considering the number of B lines and the degree of subpleural consolidation. The primary outcome was the difference between the lung ultrasound scores measured before anesthesia induction and just after extubation in the operating room. An increase in the difference means the development of atelectasis. The optimal PEEP in the individualized group was determined as the median (interquartile range) 14 (12-18) cm H2O. Compared with the standardized group, the difference in the lung ultrasound scores was significantly smaller in the individualized group (-0.5 ± 2.7 vs. 6.0 ± 2.9, mean difference -6.53, 95% confidence interval (-8.00 to -5.07), p &lt; 0.001), which means that individualized PEEP was effective to reduce atelectasis. The lung ultrasound score measured after surgery was significantly lower in the individualized group than the standardized group (8.1 ± 5.7 vs. 12.2 ± 4.2, mean difference -4.13, 95% confidence interval (-6.74 to -1.53), p = 0.002). However, the arterial partial pressure of the oxygen/fraction of inspired oxygen levels during the surgery showed no significant time-group interaction between the two groups in repeated-measures analysis of variance (p = 0.145). The incidence of a composite of postoperative respiratory complications was comparable between the two groups. Individualized PEEP determined by maximal respiratory compliance during the pneumoperitoneum and steep Trendelenburg position significantly reduced postoperative atelectasis, as evaluated using lung ultrasonography. However, the clinical significance of this finding should be evaluated by a larger clinical trial.","container-title":"Journal of clinical medicine","DOI":"10.3390/jcm10040850","issue":"4","note":"publisher: Multidisciplinary Digital Publishing Institute (MDPI)","page":"850-NA","title":"The Effect of Ventilation with Individualized Positive End-Expiratory Pressure on Postoperative Atelectasis in Patients Undergoing Robot-Assisted Radical Prostatectomy: A Randomized Controlled Trial.","volume":"10","author":[{"family":"Yoon","given":"Hyun Kyu; Kim","suffix":"Bo Rim; Yoon, Susie; Jeong, Young Hyun; Ku, Ja Hyeon; Kim, Won Ho"}],"issued":{"date-parts":[["2021"]]}}},{"id":182,"uris":["http://zotero.org/users/local/L5HAWlIW/items/463AFJSV"],"itemData":{"id":182,"type":"article-journal","abstract":"&lt;AbstractText Label=\"BACKGROUND\"&gt;Driving pressure (ΔP = Plateau pressure-PEEP) is highly correlated with postoperative pulmonary complications (PPCs) and appears to be a promising indicator for optimizing ventilator settings. We hypothesized that dynamic, individualized positive end-expiratory pressure (PEEP) guided by ΔP could reduce postoperative atelectasis and improve intraoperative oxygenation, respiratory mechanics, and reduce the incidence of PPCs on elderly patients undergoing laparoscopic surgery.&lt;/AbstractText&gt; &lt;AbstractText Label=\"METHODS\"&gt;Fifty-one elderly patients who were subject to laparoscopic surgery participated in this randomized trial. In the PEEP titration group (DV group), the PEEP titration was decremented to the lowest ΔP and repeated every 1 h. Additional procedures were also performed when performing predefined events that may be associated with lung collapse. In the constant PEEP group (PV group), a PEEP of 6 cmH&lt;sub&gt;2&lt;/sub&gt;O was used throughout the surgery. Moreover, zero PEEP was applied during the entire procedure in the conventional ventilation group (CV group). The primary objective of this study was lung ultrasound score noted at the end of surgery and 15 min after admission to the post-anesthesia care unit (PACU) at 12 lung areas bilaterally. The secondary endpoints were perioperative oxygenation function, expiratory mechanics, and the incidence of the PPCs.&lt;/AbstractText&gt; &lt;AbstractText Label=\"RESULTS\"&gt;The lung ultrasound scores of the DV group were significantly lower than those in the PV group and CV group (P &amp;lt; 0.05), whereas there was no significant difference between the PV group and CV group (P &amp;gt; 0.05). The lung static compliance (Cstat) and ΔP at all the intraoperative time points in the DV group were significantly better compared to the PV group and the CV group (p &amp;lt; 0.05).&lt;/AbstractText&gt; &lt;AbstractText Label=\"CONCLUSIONS\"&gt;Intraoperative titrated PEEP reduced postoperative lung atelectasis and improved respiratory mechanics in elderly patients undergoing laparoscopic surgery. Meanwhile, standard PEEP strategy is not superior to conventional ventilation in reducing postoperative pulmonary atelectasis in laparoscopic surgery.&lt;/AbstractText&gt; &lt;CopyrightInformation&gt;© 2022. The Author(s).&lt;/CopyrightInformation&gt;","container-title":"BMC anesthesiology","DOI":"10.1186/s12871-022-01613-9","issue":"1","note":"publisher: BioMed Central","page":"72-NA","title":"Effects of dynamic individualized PEEP guided by driving pressure in laparoscopic surgery on postoperative atelectasis in elderly patients: a prospective randomized controlled trial.","volume":"22","author":[{"family":"Xu","given":"Qi; Guo","suffix":"Xiao; Liu, Jiang; Li, Si-Xun; Ma, Hai-Rui; Wang, Fei-Xiang; Lin, Jing-Yan"}],"issued":{"date-parts":[["2022"]]}}},{"id":149,"uris":["http://zotero.org/users/local/L5HAWlIW/items/HSM2JN5A"],"itemData":{"id":149,"type":"article-journal","abstract":"Abstract Background Higher intraoperative driving pressures (ΔP) are associated with increased postoperative pulmonary complications (PPC). We hypothesised that dynamic adjustment of PEEP throughout abdominal surgery reduces ΔP, maintains positive end-expiratory transpulmonary pressures (Ptp_ee) and increases respiratory system static compliance (Crs) with PEEP levels that are variable between and within patients. Methods In a prospective multicentre pilot study, adults at moderate/high risk for PPC undergoing elective abdominal surgery were randomised to one of three ventilation protocols: (1) PEEP≤2 cm H2O, compared with periodic recruitment manoeuvres followed by individualised PEEP to either optimise respiratory system compliance (PEEPmaxCrs) or maintain positive end-expiratory transpulmonary pressure (PEEPPtp_ee). The composite primary outcome included intraoperative ΔP, Ptp_ee, Crs, and PEEP values (median (interquartile range) and coefficients of variation [CVPEEP]). Results Thirty-seven patients (48.6% female; age range: 47–73 yr) were assigned to control (PEEP≤2 cm H2O; n=13), PEEPmaxCrs (n=16), or PEEPPtp_ee (n=8) groups. The PEEPPtp_ee intervention could not be delivered in two patients. Subjects assigned to PEEPmaxCrs had lower ΔP (median8 cm H2O [7–10]), compared with the control group (12 cm H2O [10–15]; P=0.006). PEEPmaxCrs was also associated with higher Ptp_ee (2.0 cm H2O [-0.7 to 4.5] vs controls: -8.3 cm H2O [-13.0 to -4.0]; P≤0.001) and higher Crs (47.7 ml cm H2O [43.2–68.8] vs controls: 39.0 ml cm H2O [32.9–43.4]; P=0.009). Individualised PEEP (PEEPmaxCrs and PEEPPtp_ee combined) varied widely (median: 10 cm H2O [8-15]; CVPEEP=0.24 [0.14–0.35]), both between, and within, subjects throughout surgery. Conclusions This pilot study suggests that individualised PEEP management strategies applied during abdominal surgery reduce driving pressure, maintain positive Ptp_ee and increase static compliance. The wide range of PEEP observed suggests that an individualised approach is required to optimise respiratory mechanics during abdominal surgery. Clinical trial registration NCT02671721.","container-title":"British journal of anaesthesia","DOI":"10.1016/j.bja.2020.06.030","issue":"3","note":"publisher: Oxford University Press","page":"383-392","title":"Individualized PEEP to optimise respiratory mechanics during abdominal surgery: a pilot randomised controlled trial","volume":"125","author":[{"family":"Fernandez-Bustamante","given":"Ana; Sprung","suffix":"Juraj; Parker, Robert A.; Bartels, Karsten; Weingarten, Toby N.; Kosour, Carolina; Thompson, B. Taylor; Melo, Marcos F. Vidal"}],"issued":{"date-parts":[["2020"]]}}},{"id":198,"uris":["http://zotero.org/users/local/L5HAWlIW/items/YALB6N24"],"itemData":{"id":198,"type":"article-journal","abstract":"Bariatric surgery has proven a successful approach in the treatment of morbid obesity and its concomitant diseases such as diabetes mellitus and arterial hypertension. Aiming for optimal management of this challenging patient cohort, tailored concepts directly guided by individual patient physiology may outperform standardized care. Implying esophageal pressure measurement and electrical impedance tomography—increasingly applied monitoring approaches to individually adjust mechanical ventilation in challenging circumstances like acute respiratory distress syndrome (ARDS) and intraabdominal hypertension—we compared our institutions standard ventilator regimen with an individually adjusted positive end expiratory pressure (PEEP) level aiming for a positive transpulmonary pressure (P L) throughout the respiratory cycle. After obtaining written informed consent, 37 patients scheduled for elective bariatric surgery were studied during mechanical ventilation in reverse Trendelenburg position. Before and after installation of capnoperitoneum, PEEP levels were gradually raised from a standard value of 10 cm H2O until a P L of 0 +/− 1 cm H2O was reached. Changes in ventilation were monitored by electrical impedance tomography (EIT) and arterial blood gases (ABGs) were obtained at the end of surgery and 5 and 60 min after extubation, respectively. To achieve the goal of a transpulmonary pressure (P L) of 0 cm H2O at end expiration, PEEP levels of 16.7 cm H2O (95% KI 15.6–18.1) before and 23.8 cm H2O (95% KI 19.6–40.4) during capnoperitoneum were necessary. EIT measurements confirmed an optimal PEEP level between 10 and 15 cm H2O before and 20 and 25 cm H2O during capnoperitoneum, respectively. Intra- and postoperative oxygenation did not change significantly. Patients during laparoscopic bariatric surgery require high levels of PEEP to maintain a positive transpulmonary pressure throughout the respiratory cycle. EIT monitoring allows for non-invasive monitoring of increasing PEEP demand during capnoperitoneum. Individually adjusted PEEP levels did not result in improved postoperative oxygenation.","container-title":"Obesity surgery","DOI":"10.1007/s11695-017-2794-3","issue":"1","note":"publisher: Springer New York","page":"122-129","title":"Intraoperative Ventilation of Morbidly Obese Patients Guided by Transpulmonary Pressure.","volume":"28","author":[{"family":"Eichler","given":"Lars; Truskowska","suffix":"Katarzyna; Duprée, Anna; Busch, Philipp; Goetz, Alwin E.; Zöllner, Christian"}],"issued":{"date-parts":[["2017"]]}}},{"id":1570,"uris":["http://zotero.org/users/local/L5HAWlIW/items/V3SBX9HI"],"itemData":{"id":1570,"type":"article-journal","container-title":"British Journal of Anaesthesia","DOI":"10.1016/j.bja.2023.08.007","ISSN":"00070912","issue":"5","journalAbbreviation":"British Journal of Anaesthesia","language":"en","page":"955-965","source":"DOI.org (Crossref)","title":"Effect of driving pressure-guided positive end-expiratory pressure on postoperative pulmonary complications in patients undergoing laparoscopic or robotic surgery: a randomised controlled trial","title-short":"Effect of driving pressure-guided positive end-expiratory pressure on postoperative pulmonary complications in patients undergoing laparoscopic or robotic surgery","volume":"131","author":[{"family":"Kim","given":"Yoon Jung"},{"family":"Kim","given":"Bo Rim"},{"family":"Kim","given":"Hee Won"},{"family":"Jung","given":"Ji-Yoon"},{"family":"Cho","given":"Hye-Yeon"},{"family":"Seo","given":"Jeoung-Hwa"},{"family":"Kim","given":"Won Ho"},{"family":"Kim","given":"Hee-Soo"},{"family":"Hwangbo","given":"Suhyun"},{"family":"Yoon","given":"Hyun-Kyu"}],"issued":{"date-parts":[["2023",11]]}}},{"id":1518,"uris":["http://zotero.org/users/local/L5HAWlIW/items/RBGIT4XK"],"itemData":{"id":1518,"type":"article-journal","abstract":"Abstract\n            \n              The study aimed to investigate the efficacy of PCV-VG combined with individual PEEP during laparoscopic surgery in the Trendelenburg position. 120 patients were randomly divided into four groups: VF group (VCV plus 5cmH\n              2\n              O PEEP), PF group (PCV-VG plus 5cmH\n              2\n              O PEEP), VI group (VCV plus individual PEEP), and PI group (PCV-VG plus individual PEEP).\n              P\n              mean\n              ,\n              P\n              peak\n              , Cdyn, PaO\n              2\n              /FiO\n              2\n              ,\n              V\n              D\n              /V\n              T\n              , A-aDO\n              2\n              and Qs/Qt were recorded at T\n              1\n              (15 min after the induction of anesthesia), T\n              2\n              (60 min after pneumoperitoneum), and T\n              3\n              (5 min at the end of anesthesia). The CC16 and IL-6 were measured at T\n              1\n              and T\n              3\n              . Our results showed that the\n              P\n              mean\n              was increased in VI and PI group, and the\n              P\n              peak\n              was lower in PI group at T\n              2\n              . At T\n              2\n              and T\n              3\n              , the Cdyn of PI group was higher than that in other groups, and PaO\n              2\n              /FiO\n              2\n              was increased in PI group compared with VF and VI group. At T\n              2\n              and T\n              3\n              , A-aDO\n              2\n              of PI and PF group was reduced than that in other groups. The Qs/Qt was decreased in PI group compared with VF and VI group at T\n              2\n              and T\n              3\n              . At T\n              2\n              ,\n              V\n              D\n              /V\n              T\n              in PI group was decreased than other groups. At T\n              3\n              , the concentration of CC16 in PI group was lower compared with other groups, and IL-6 level of PI group was decreased than that in VF and VI group. In conclusion, the patients who underwent laparoscopic surgery, PCV-VG combined with individual PEEP produced favorable lung mechanics and oxygenation, and thus reducing inflammatory response and lung injury.\n            \n            \n              Clinical Trial registry\n              : chictr.org. identifier: ChiCTR-2100044928","container-title":"Journal of Clinical Monitoring and Computing","DOI":"10.1007/s10877-021-00750-9","ISSN":"1387-1307, 1573-2614","issue":"4","journalAbbreviation":"J Clin Monit Comput","language":"en","page":"1155-1164","source":"DOI.org (Crossref)","title":"Effect of pressure-controlled ventilation-volume guaranteed mode combined with individualized positive end-expiratory pressure on respiratory mechanics, oxygenation and lung injury in patients undergoing laparoscopic surgery in Trendelenburg position","volume":"36","author":[{"family":"Li","given":"Jianli"},{"family":"Ma","given":"Saixian"},{"family":"Chang","given":"Xiujie"},{"family":"Ju","given":"Songxu"},{"family":"Zhang","given":"Meng"},{"family":"Yu","given":"Dongdong"},{"family":"Rong","given":"Junfang"}],"issued":{"date-parts":[["2022",8]]}}},{"id":1577,"uris":["http://zotero.org/users/local/L5HAWlIW/items/2Q6YJM6C"],"itemData":{"id":1577,"type":"article-journal","abstract":"BACKGROUND: Individualized positive end‐expiratory pressure (PEEP) guided by dynamic compliance improves oxygenation and reduces postoperative atelectasis in nonobese patients. The authors hypothesized that dynamic compliance‐guided PEEP could also reduce postoperative atelectasis in patients undergoing bariatric surgery. METHODS: Patients scheduled to undergo laparoscopic bariatric surgery were eligible. Dynamic compliance‐guided PEEP titration was conducted in all patients using a downward approach. A recruitment maneuver (PEEP from 10 to 25 cm H2O at 5‐cm H2O step every 30 s, with 15‐cm H2O driving pressure) was conducted both before and after the titration. Patients were then randomized (1:1) to undergo surgery under dynamic compliance‐guided PEEP (PEEP with highest dynamic compliance plus 2 cm H2O) or PEEP of 8 cm H2O. The primary outcome was postoperative atelectasis, as assessed with computed tomography at 60 to 90 min after extubation, and expressed as percentage to total lung tissue volume. Secondary outcomes included Pao2/inspiratory oxygen fraction (Fio2) and postoperative pulmonary complications. RESULTS: Forty patients (mean ± SD; 28 ± 7 yr of age; 25 females; average body mass index, 41.0 ± 4.7 kg/m2) were enrolled. Median PEEP with highest dynamic compliance during titration was 15 cm H2O (interquartile range, 13 to 17; range, 8 to 19) in the entire sample of 40 patients. The primary outcome of postoperative atelectasis (available in 19 patients in each group) was 13.1 ± 5.3% and 9.5 ± 4.3% in the PEEP of 8 cm H2O and dynamic compliance‐guided PEEP groups, respectively (intergroup difference, 3.7%; 95% CI, 0.5 to 6.8%; P = 0.025). Pao2/Fio2 at 1 h after pneumoperitoneum was higher in the dynamic compliance‐guided PEEP group (397 vs. 337 mmHg; group difference, 60; 95% CI, 9 to 111; P = 0.017) but did not differ between the two groups 30 min after extubation (359 vs. 375 mmHg; group difference, ‐17; 95% CI, ‐53 to 21; P = 0.183). The incidence of postoperative pulmonary complications was 4 of 20 in both groups. CONCLUSIONS: Postoperative atelectasis was lower in patients undergoing laparoscopic bariatric surgery under dynamic compliance‐guided PEEP versus PEEP of 8 cm H2O. Postoperative Pao2/Fio2 did not differ between the two groups.","archive_location":"CN-02581757","container-title":"Anesthesiology","DOI":"10.1097/ALN.0000000000004603","issue":"3","journalAbbreviation":"Anesthesiology","page":"262‐273","title":"Individualized Positive End-expiratory Pressure on Postoperative Atelectasis in Patients with Obesity: a Randomized Controlled Clinical Trial","volume":"139","author":[{"family":"Li","given":"X"},{"family":"Liu","given":"H"},{"family":"Wang","given":"J"},{"family":"Ni","given":"ZL"},{"family":"Liu","given":"ZX"},{"family":"Jiao","given":"JL"},{"family":"Han","given":"Y"},{"family":"Cao","given":"JL"}],"issued":{"date-parts":[["2023"]]}}},{"id":1612,"uris":["http://zotero.org/users/local/L5HAWlIW/items/5LCJJ8P3"],"itemData":{"id":1612,"type":"article-journal","abstract":"Laparoscopic total hysterectomy is performed by carbon dioxide insufflation, Trendelenburg position and mechanical ventilation of patients under general anesthesia. However, this may induce pulmonary atelectasis and/or hyperdistention of the lungs. Multiple studies have indicated that mechanical ventilation with the use of low tidal volumes, moderate positive end‐expiratory pressure (PEEP) and regular alveolar recruitment maneuvers may improve post‐operative outcomes. However, the benefits of an individualized level of PEEP have not been clearly established. In the present study, it was hypothesized that a moderate fixed PEEP may not suit all patients and an individually‐titrated PEEP during anesthesia may improve the peri‐operative pulmonary oxygenation function. The aim of the present study was to compare the pulmonary oxygenation function and post‐operative pulmonary complications (PPCs) in patients receiving individualized lung‐protective mechanical ventilation (LPV) vs. conventional ventilation (CV) during laparoscopic total hysterectomy. The present study was a randomized double‐blinded clinical trial on 87 patients who were randomly divided to receive CV or protective ventilation (PV). An optimal individualized PEEP value was determined using a static pulmonary compliance‐directed PEEP titration procedure. Pulmonary oxygenation function, serum inflammatory factors, including interleukin‐8 and Clara cell protein 16, the incidence of PPCs and the post‐operative length of stay were also determined. Patients in the PV group exhibited improved pulmonary oxygenation function during and after the operation. The total percentage of PPCs during the first 7 days after surgery was significantly lower in the PV group compared with those in the CV group. In conclusion, as compared to CV, intra‐operative individualized LPV significantly improved pulmonary oxygenation function and reduced the incidence of PPCs during the first 7 days after laparoscopic total hysterectomy (Clinical trial registration no. ChiCTR1900027738).","archive_location":"CN-02099494","container-title":"Experimental and therapeutic medicine","DOI":"10.3892/etm.2020.8549","issue":"4","journalAbbreviation":"Experimental and therapeutic medicine","page":"3051‐3059","title":"Individualized lung protective ventilation vs. Conventional ventilation during general anesthesia in laparoscopic total hysterectomy","volume":"19","author":[{"family":"Liu","given":"J"},{"family":"Huang","given":"X"},{"family":"Hu","given":"S"},{"family":"Meng","given":"Z"},{"family":"He","given":"H"}],"issued":{"date-parts":[["2020"]]}}},{"id":1568,"uris":["http://zotero.org/users/local/L5HAWlIW/items/5DJWX5NC"],"itemData":{"id":1568,"type":"article-journal","abstract":"Abstract\n            \n              Objective\n              To evaluate the effect of the individualized positive end-expiratory pressure (PEEP) lung protection ventilation strategy by combining driving pressure (ΔP) and pulmonary ultrasound (LUS)-based titration on lung function and postoperative cognitive function in patients with chronic obstructive pulmonary disease (COPD) during laparoscopic surgery.\n            \n            \n              Methods\n              \n                A total of 108 patients with COPD undergoing laparoscopic gastrointestinal surgery under general anesthesia were included in this study. They were randomly divided into three groups (n = 36): traditional volume ventilation group (Group C), fixed PEEP 5 cmH\n                2\n                O group (Group P), and ΔP combined with LUS-based PEEP titration in the resuscitation room group (Group T). All three groups were given volume ventilation mode, I:E = 1:2; In group C, VT was 10 mL/kg and PEEP was 0 cmH\n                2\n                O; In groups P and T, VT was 6 mL/kg and PEEP was 5 cmH\n                2\n                O; After mechanical ventilation for 15 min in Group T, ΔP in combination with LUS was used to titrate PEEP. The oxygenation index (PaO2/FiO2), airway platform pressure (Pplat), dynamic lung compliance (Cdyn), Montreal Cognitive Assessment (MoCA), and venous interleukin-6(IL-6) were recorded at the corresponding time points, and the final PEEP value in Group T was recorded.\n              \n            \n            \n              Results\n              \n                The final PEEP value of Group T was (6.4 ± 1.2) cmH\n                2\n                O; Compared with groups C and P: PaO\n                2\n                /FiO\n                2\n                and Cdyn in Group T were significantly increased (\n                P\n                 &lt; 0.05) and value of IL-6 was significantly decreased (\n                P\n                 &lt; 0.05) at the corresponding time points. Compared with group C, the MoCA score on day 7 after surgery in Group T was significantly higher (\n                P\n                 &lt; 0.05).\n              \n            \n            \n              Conclusion\n              Compared with the traditional ventilation strategy, the individualized ΔP combined with LUS-based PEEP titration in patients with COPD during the perioperative period of laparoscopic surgery can play a better role in lung protection and can improve postoperative cognitive function.","container-title":"BMC Pulmonary Medicine","DOI":"10.1186/s12890-023-02471-y","ISSN":"1471-2466","issue":"1","journalAbbreviation":"BMC Pulm Med","language":"en","page":"232","source":"DOI.org (Crossref)","title":"Effect of individualized PEEP titration by ultrasonography on perioperative pulmonary protection and postoperative cognitive function in patients with chronic obstructive pulmonary disease","volume":"23","author":[{"family":"Luo","given":"Lai-feng"},{"family":"Lin","given":"Yu-mei"},{"family":"Liu","given":"Ying"},{"family":"Gao","given":"Xiao-hua"},{"family":"Li","given":"Chui-yu"},{"family":"Zhang","given":"Xiao-qi"},{"family":"Wu","given":"Jian-hua"},{"family":"Chen","given":"Zhi-yuan"}],"issued":{"date-parts":[["2023",6,28]]}}},{"id":1667,"uris":["http://zotero.org/users/local/L5HAWlIW/items/C4CXU7ZP"],"itemData":{"id":1667,"type":"article-journal","abstract":"Objective To investigate the effect of individualized positive end expiratory pressure (PEEP) setting guided by chest electrical impedance tomography (EIT) on the incidence of hypoxemia in elderly patients undergoing robot‑assisted radical prostatectomy in the post anesthesia care unit (PACU). Methods From September 2020 to October 2021, sixty elderly patients, with the American Association of Anesthesiologists (ASA) of Grade Ⅰ to Ⅲ, who underwent selective robot‑assisted radical prostatectomy under general anesthesia in the Cancer Hospital Affiliated to Fudan University were selected. The participants were divided into two groups by the minimum randomized grouping method: EIT‑PEEP group (EP group, n=30) and fixed PEEP group (FP group, n=30). After completion of tracheal intubation and establishment of pneumoperitoneum flexion posture, the individualized PEEP setting was guided by EIT in EP group, and the PEEP setting in FP group was 5 cmH2O (1 cmH2O=0.098 kPa) to the end of operation. During the operation, the ventilation mode of pressure regulation volume control was adopted. The driving pressure, dynamic lung compliance (Cdyn), oxygenation index and hemodynamics were recorded at 5 min (T1), 30 min (T2), 60 min (T3) after PEEP setting and at the time of tracheal catheter removal (T4) in both groups. The primary end point was the incidence of hypoxemia in PACU after extubation. Results The incidence of hypoxemia after extubation was 3.3% (1/30) in EP group and 26.7% (8/ 30) in FP group (P=0.030). The difference of driving pressure between the two groups at T2 [(13.1± 2.4) cmH2O vs (14.9±2.9) cmH2O, P=0.012], T3 [(12.7±2.4) cmH2O vs (15.6±2.8) cmH2O, P&lt;0.001] was statistically significant. In EP group, Cdyn was improved at T2 [(38.4±7.2) ml/cmH2O vs (31.9±5.2) ml/cmH2O, P=0.006] and T3 [(37.5</w:instrText>
      </w:r>
      <w:r w:rsidR="00201C16">
        <w:rPr>
          <w:rFonts w:cs="Times New Roman"/>
          <w:lang w:val="en-US"/>
        </w:rPr>
        <w:instrText>��</w:instrText>
      </w:r>
      <w:r w:rsidR="00201C16">
        <w:rPr>
          <w:lang w:val="en-US"/>
        </w:rPr>
        <w:instrText xml:space="preserve">9.0) ml/cmH2O vs (30.4±5.9) ml/cmH2O, P=0.001]. In EP group, PaO2/FiO2 increased at T1 [(465.7±84.5) mmHg vs (383.5±58.0) mmHg, 1 mmHg=0.133 kPa, P&lt; 0.001], T2 [(504.7±105.8) mmHg vs (418.9±73.7) mmHg, P=0.001], T3 [(520.7±92.2) mmHg vs (423.2±90.7) mmHg, P&lt;0.001], T4 [(368.7±42.0) mmHg vs (339.5±54.9) mmHg, P=0.024]. Conclusion The individualized PEEP setting guided by EIT can reduce the incidence of hypoxemia in elderly patients undergoing robot assisted radical prostatectomy in PACU.","archive_location":"CN-02613242","container-title":"Zhonghua yi xue za zhi","DOI":"10.3760/cma.j.cn112137-20220415-00818","issue":"47","journalAbbreviation":"Zhonghua yi xue za zhi","page":"3727‐3733","title":"Effect of EIT-guided individualized PEEP setting on the incidence of hypoxemia in elderly patients undergoing robot-assisted radical prostatectomy","volume":"102","author":[{"family":"Pan","given":"LL"},{"family":"Gao","given":"LL"},{"family":"Yang","given":"L"},{"family":"Pan","given":"CX"},{"family":"Yin","given":"YH"},{"family":"Zhu","given":"Y"},{"family":"Zhang","given":"J"}],"issued":{"date-parts":[["2022"]]}}},{"id":168,"uris":["http://zotero.org/users/local/L5HAWlIW/items/67NQ5YJS"],"itemData":{"id":168,"type":"article-journal","abstract":"BACKGROUND The creation of pneumoperitoneum during laparoscopic surgery can lead to adverse effects on the respiratory system. Positive end-expiratory pressure (PEEP) plays an important role in mechanical ventilation during laparoscopic surgery. OBJECTIVE To evaluate whether PEEP setting guided by oesophageal pressure (Poeso) measurement would affect oxygenation and respiratory mechanics during laparoscopic gynaecological surgery. DESIGN A randomised controlled study. SETTING A single-centre trial from March 2018 to June 2018. PATIENTS Forty-four adult patients undergoing laparoscopic gynaecological surgery with anticipated duration of surgery more than 2 h. INTERVENTION PEEP set according to Poeso measurement (intervention group) versus PEEP constantly set at 5 cmH2O (control group). MAIN OUTCOME MEASURES Gas exchange and respiratory mechanics after induction and intubation (T0) and at 15 and 60 min after initiation of pneumoperitoneum (T1 and T2, respectively). RESULTS PEEP during pneumoperitoneum was significantly higher in the intervention group than in the control group (T1, 12.5 ± 1.9 vs. 5.0 ± 0.0 cmH2O and T2, 12.4 ± 1.9 vs. 5.0 ± 0.0 cmH2O, both P &lt; 0.001). Partial pressures of oxygen decreased significantly from baseline during pneumoperitoneum in the control group but not in the intervention group. Nevertheless, the changes in partial pressures of oxygen did not differ between groups. Compliance of the respiratory system (CRS) significantly decreased and driving pressure significantly increased during pneumoperitoneum in both groups. However, the changes in CRS and driving pressure were significantly less in the intervention group. Transpulmonary pressure during expiration was maintained in the intervention group while it decreased significantly in the control group. CONCLUSION PEEP setting guided by Poeso measurement showed no beneficial effects in terms of oxygenation but respiratory mechanics were better during laparoscopic gynaecological surgery. TRIAL REGISTRATION ClinicalTrials.gov identifier: NCT03256396.","container-title":"European journal of anaesthesiology","DOI":"10.1097/eja.0000000000001204","issue":"11","note":"publisher: Wolters Kluwer Health","page":"1032-1039","title":"Effects of intra-operative positive end-expiratory pressure setting guided by oesophageal pressure measurement on oxygenation and respiratory mechanics during laparoscopic gynaecological surgery: A randomised controlled trial.","volume":"37","author":[{"family":"Piriyapatsom","given":"Annop; Phetkampang","suffix":"Sanchai"}],"issued":{"date-parts":[["2020"]]}}},{"id":1558,"uris":["http://zotero.org/users/local/L5HAWlIW/items/QIKG7S9M"],"itemData":{"id":1558,"type":"article-journal","container-title":"Diabetes, Metabolic Syndrome and Obesity","DOI":"10.2147/DMSO.S405804","ISSN":"1178-7007","journalAbbreviation":"DMSO","language":"en","license":"https://creativecommons.org/licenses/by-nc/3.0/","page":"1515-1523","source":"DOI.org (Crossref)","title":"Driving Pressure-Guided Ventilation in Obese Patients Undergoing Laparoscopic Sleeve Gastrectomy: A Randomized Controlled Trial","title-short":"Driving Pressure-Guided Ventilation in Obese Patients Undergoing Laparoscopic Sleeve Gastrectomy","volume":"Volume 16","author":[{"family":"Yang","given":"Guanyu"},{"family":"Zhang","given":"Pin"},{"family":"Li","given":"Liumei"},{"family":"Wang","given":"Jingjing"},{"family":"Jiao","given":"Pengfei"},{"family":"Wang","given":"Jie"},{"family":"Chu","given":"Qinjun"}],"issued":{"date-parts":[["2023",5]]}}},{"id":157,"uris":["http://zotero.org/users/local/L5HAWlIW/items/9I65CFBK"],"itemData":{"id":157,"type":"article-journal","abstract":"Background The optimal positive end-expiratory pressure (PEEP) to prevent postoperative pulmonary complications (PPCs) remains unclear. Recent evidence showed that driving pressure was closely related to PPCs. In this study, we tested the hypothesis that an individualized PEEP guided by minimum driving pressure during abdominal surgery would reduce the incidence of PPCs. Methods This single-centered, randomized controlled trial included a total of 148 patients scheduled for open upper abdominal surgery. Patients were randomly assigned to receive an individualized PEEP guided by minimum driving pressure or an empiric fixed PEEP of 6 cm H2O. The primary outcome was the incidence of clinically significant PPCs within the first 7 days after surgery, using a χ2 test. Secondary outcomes were the severity of PPCs, the area of atelectasis, and pleural effusion. Other outcomes, such as the incidence of different types of PPCs (including hypoxemia, atelectasis, pleural effusion, dyspnea, pneumonia, pneumothorax, and acute respiratory distress syndrome), intensive care unit (ICU) admission rate, length of hospital stay, and 30-day mortality were also explored. Results The median value of PEEP in the individualized group was 10 cm H2O. The incidence of clinically significant PPCs was significantly lower in the individualized PEEP group compared with that in the fixed PEEP group (26 of 67 [38.8%] vs 42 of 67 [62.7%], relative risk = 0.619, 95% confidence intervals, 0.435-0.881; P = .006). The overall severity of PPCs and the area of atelectasis were also significantly diminished in the individualized PEEP group. Higher respiratory compliance during surgery and improved intra- and postoperative oxygenation was observed in the individualized group. No significant differences were found in other outcomes between the 2 groups, such as ICU admission rate or 30-day mortality. Conclusions The application of individualized PEEP based on minimum driving pressure may effectively decrease the severity of atelectasis, improve oxygenation, and reduce the incidence of clinically significant PPCs after open upper abdominal surgery.","container-title":"Anesthesia and analgesia","DOI":"10.1213/ane.0000000000005575","issue":"5","note":"publisher: Lippincott Williams and Wilkins","page":"1197-1205","title":"Driving Pressure-Guided Individualized Positive End-Expiratory Pressure in Abdominal Surgery: A Randomized Controlled Trial.","volume":"133","author":[{"family":"Zhang","given":"Chengmi; Xu","suffix":"Fengying; Li, Weiwei; Tong, Xingyu; Xia, Ran; Wang, Wei; Du, Jianer; Shi, Xueyin"}],"issued":{"date-parts":[["2021"]]}}},{"id":1556,"uris":["http://zotero.org/users/local/L5HAWlIW/items/BRUJD782"],"itemData":{"id":1556,"type":"article-journal","abstract":"Abstract\n            \n              To investigate whether driving pressure–guided ventilation could contribute to a more homogeneous distribution in the lung for gynecological laparoscopy. Chinese patients were randomized, after pneumoperitoneum, to receive either positive end expiratory pressure (PEEP) of 5 cm H\n              2\n              O (control group), or individualized PEEP producing the lowest driving pressure (titration group). Ventilation homogeneity is quantified as the global inhomogeneity (GI) index based on electrical impedance tomography, with a lower index implying more homogeneous ventilation. The perioperative arterial oxygenation index and respiratory system mechanics were also recorded. Blood samples were collected for lung injury biomarkers including interleukin-10, neutrophil elastase, and Clara Cell protein-16. A total of 48 patients were included for analysis. We observed a significant increase in the GI index immediately after tracheal extubation compared to preinduction in the control group (\n              p\n               = 0.040) but not in the titration group (\n              p\n               = 0.279). Furthermore, the GI index was obviously lower in the titration group than in the control group [0.390 (0.066) vs 0.460 (0.074),\n              p\n               = 0.0012]. The oxygenation index and respiratory compliance were significantly higher in the titration group than in the control group. No significant differences in biomarkers or hemodynamics were detected between the two groups. Driving pressure–guided PEEP led to more homogeneous ventilation, as well as improved gas exchange and respiratory compliance for patients undergoing gynecological laparoscopy.\n            \n            \n              Trial Registration\n              : ClinicalTrials.gov NCT04374162; first registration on 05/05/2020.","container-title":"Scientific Reports","DOI":"10.1038/s41598-022-26144-8","ISSN":"2045-2322","issue":"1","journalAbbreviation":"Sci Rep","language":"en","page":"21687","source":"DOI.org (Crossref)","title":"Driving pressure-guided ventilation improves homogeneity in lung gas distribution for gynecological laparoscopy: a randomized controlled trial","title-short":"Driving pressure-guided ventilation improves homogeneity in lung gas distribution for gynecological laparoscopy","volume":"12","author":[{"family":"Zhang","given":"Wei"},{"family":"Liu","given":"Feifei"},{"family":"Zhao","given":"Zhanqi"},{"family":"Shao","given":"Chunqing"},{"family":"Xu","given":"Xin"},{"family":"Ma","given":"Jiajia"},{"family":"Han","given":"Ruquan"}],"issued":{"date-parts":[["2022",12,15]]}}},{"id":1562,"uris":["http://zotero.org/users/local/L5HAWlIW/items/ANKXGAEQ"],"itemData":{"id":1562,"type":"article-journal","abstract":"Background\n              Electrical impedance tomography (EIT) has been shown to be useful in guiding individual positive end-expiratory pressure titration for patients with mechanical ventilation. However, the appropriate positive end-expiratory pressure (PEEP) level and whether the individualized PEEP needs to be adjusted during long-term surgery (&amp;gt;6 h) were unknown. Meanwhile, the effect of individualized PEEP on the distribution of pulmonary ventilation in patients who receive abdominal thermoperfusion chemotherapy is unknown. The primary aim of this study was to observe the effect of EIT-guided PEEP on the distribution of pulmonary ventilation in patients undergoing cytoreductive surgery (CRS) combined with hot intraperitoneal chemotherapy (HIPEC). The secondary aim was to analyze their effect on postoperative pulmonary complications.\n            \n            \n              Methods\n              \n                A total of 48 patients were recruited and randomly divided into two groups, with 24 patients in each group. For the control group (group A), PEEP was set at 5 cm H\n                2\n                O, while in the EIT group (group B), individual PEEP was titrated and adjusted every 2 h with EIT guidance. Ventilation distribution, respiratory/circulation parameters, and PPC incidence were compared between the two groups.\n              \n            \n            \n              Results\n              \n                The average individualized PEEP was 10.3 ± 1.5 cm H\n                2\n                O, 10.2 ± 1.6 cm H\n                2\n                O, 10.1 ± 1.8 cm H\n                2\n                O, and 9.7 ± 2.1 cm H\n                2\n                O at 5 min, 2 h, 4 h, and 6 h after tracheal intubation during CRS + HIPEC. Individualized PEEP was correlated with ventilation distribution in the regions of interest (ROI) 1 and ROI 3 at 4 h mechanical ventilation and ROI 1 at 6 h mechanical ventilation. The ventilation distribution under individualized PEEP was back-shifted for 6 h but moved to the control group’s ventral side under PEEP 5 cm H\n                2\n                O. The respiratory and circulatory function indicators were both acceptable either under individualized PEEP or PEEP 5 cm H\n                2\n                O. The incidence of total PPCs was significantly lower under individualized PEEP (66.7%) than PEEP 5 cm H\n                2\n                O (37.5%) for patients with CRS + HIPEC.\n              \n            \n            \n              Conclusion\n              \n                The appropriate individualized PEEP was stable at approximately 10 cm H\n                2\n                O during 6 h for patients with CRS + HIPEC, along with better ventilation distribution and a lower total PPC incidence than the fixed PEEP of 5 cm H\n                2\n                O.\n              \n              \n                Clinical trial registration:\n                identifier ChiCTR1900023897.","container-title":"Frontiers in Medicine","DOI":"10.3389/fmed.2023.1198720","ISSN":"2296-858X","journalAbbreviation":"Front. Med.","page":"1198720.","source":"DOI.org (Crossref)","title":"Effect of individualized positive end-expiratory pressure based on electrical impedance tomography guidance on pulmonary ventilation distribution in patients who receive abdominal thermal perfusion chemotherapy","volume":"10","author":[{"family":"Xiao","given":"Li"},{"family":"Yu","given":"Kang"},{"family":"Yang","given":"Jiao-Jiao"},{"family":"Liu","given":"Wen-Tao"},{"family":"Liu","given":"Lei"},{"family":"Miao","given":"Hui-Hui"},{"family":"Li","given":"Tian-Zuo"}],"issued":{"date-parts":[["2023",9,5]]}}}],"schema":"https://github.com/citation-style-language/schema/raw/master/csl-citation.json"} </w:instrText>
      </w:r>
      <w:r w:rsidR="00F92D92" w:rsidRPr="00483D15">
        <w:rPr>
          <w:lang w:val="en-US"/>
        </w:rPr>
        <w:fldChar w:fldCharType="separate"/>
      </w:r>
      <w:r w:rsidR="00201C16" w:rsidRPr="00201C16">
        <w:rPr>
          <w:rFonts w:cs="Times New Roman"/>
          <w:kern w:val="0"/>
        </w:rPr>
        <w:t>[1,3,6,13,15,45,46,48,52–56,58,59,63–65,67]</w:t>
      </w:r>
      <w:r w:rsidR="00F92D92" w:rsidRPr="00483D15">
        <w:rPr>
          <w:lang w:val="en-US"/>
        </w:rPr>
        <w:fldChar w:fldCharType="end"/>
      </w:r>
      <w:r w:rsidRPr="00483D15">
        <w:rPr>
          <w:lang w:val="en-US"/>
        </w:rPr>
        <w:t xml:space="preserve"> and the duration of surgery (24 studies, 2,096 patients)</w:t>
      </w:r>
      <w:r w:rsidR="001F3E9D">
        <w:rPr>
          <w:lang w:val="en-US"/>
        </w:rPr>
        <w:t xml:space="preserve"> </w:t>
      </w:r>
      <w:r w:rsidR="00F92D92" w:rsidRPr="00483D15">
        <w:rPr>
          <w:lang w:val="en-US"/>
        </w:rPr>
        <w:fldChar w:fldCharType="begin"/>
      </w:r>
      <w:r w:rsidR="0025344E">
        <w:rPr>
          <w:lang w:val="en-US"/>
        </w:rPr>
        <w:instrText xml:space="preserve"> ADDIN ZOTERO_ITEM CSL_CITATION {"citationID":"m08cteui","properties":{"formattedCitation":"[1,3,6,13,15,45,46,48,50\\uc0\\u8211{}53,55\\uc0\\u8211{}60,62\\uc0\\u8211{}67]","plainCitation":"[1,3,6,13,15,45,46,48,50–53,55–60,62–67]","noteIndex":0},"citationItems":[{"id":147,"uris":["http://zotero.org/users/local/L5HAWlIW/items/A8UQPRVS"],"itemData":{"id":147,"type":"article-journal","abstract":"Editor’s PerspectiveWhat We Already Know about This TopicIn patients with adult respiratory distress syndrome, physiologic tidal volume and positive end-expiratory pressure (PEEP) are protectiveIn patients without lung diseases undergoing mechanical ventilation under general anesthesia, optimal PEEP","container-title":"Anesthesiology","DOI":"10.1097/aln.0000000000002435","issue":"6","note":"publisher: Lippincott Williams and Wilkins","page":"1070-1081","title":"Individual Positive End-expiratory Pressure Settings Optimize Intraoperative Mechanical Ventilation and Reduce Postoperative Atelectasis","volume":"129","author":[{"family":"Pereira","given":"Sérgio; Tucci","suffix":"Mauro R.; Morais, Caio C. A.; Simões, Claudia Marquez; Tonelotto, Bruno Francisco Freitas; Pompeo, Michel S.; Kay, Fernando Uliana; Pelosi, Paolo; Vieira, Joaquim Edson; Amato, Marcelo B. P."}],"issued":{"date-parts":[["2018"]]}}},{"id":187,"uris":["http://zotero.org/users/local/L5HAWlIW/items/8MR6RMK8"],"itemData":{"id":187,"type":"article-journal","abstract":"This study aimed to observe the effects of lung-protective ventilation (LPV) on oxygenation index (OI) and postoperative pulmonary complications (PPCs) after laparoscopic radical gastrectomy in middle-aged and elderly patients. A total of 120 patients who were scheduled to undergo laparoscopic radical gastrectomy with an expected time of &gt;3 h were randomly divided into conventional ventilation (CV group) with tidal volume (TV) of 10 mL/kg without positive end-expiratory pressure (PEEP), and lung-protective ventilation (PV group) with 7 mL/kg TV and personal level of PEEP with regular recruitment maneuver every 30 min. Measurements of OI, modified clinical pulmonary infection score (mCPIS), and PPCs were assessed during the perioperative period. Fifty-seven patients in the CV group and 58 in the PV group participated in the data analysis. Patients in the PV group showed better pulmonary dynamic compliance, OI, and peripheral capillary oxygen saturation during and after surgery. The mCPIS was significantly lower in the PV group than in the CV group after surgery. The incidence rate of PPCs was lower in the PV group than in the CV group and the difference was significant in patients whose ventilation time was longer than 6 h in both groups. LPV during laparoscopic radical gastrectomy significantly improved pulmonary oxygenation function and reduced postoperative mCPIS and the incidence of PPCs during the early period after surgery of middle-aged and elderly patients, especially patients whose mechanical ventilation time was longer than 6 h.","container-title":"Brazilian journal of medical and biological research = Revista brasileira de pesquisas medicas e biologicas","DOI":"10.1590/1414-431x20198523","issue":"6","note":"publisher: Associacao Brasileira de Divulgacao Cientifica","page":"e8523-NA","title":"Effect of intraoperative lung-protective mechanical ventilation on pulmonary oxygenation function and postoperative pulmonary complications after laparoscopic radical gastrectomy.","volume":"52","author":[{"family":"Liu","given":"Jing; Meng","suffix":"Zhipeng; Lv, Ran; Zhang, Yaping; Wang, Gaojian; Xie, Junran"}],"issued":{"date-parts":[["2019"]]}}},{"id":167,"uris":["http://zotero.org/users/local/L5HAWlIW/items/53VQRNW3"],"itemData":{"id":167,"type":"article-journal","abstract":"Applying lung protective mechanical ventilation (LPV) during general anaesthesia even in patients with non-injured lungs is recommended. However, the effects of an individual PEEP-optimisation on respiratory mechanics, oxygenation and their potential correlation with the inflammatory response and postoperative complications have not been evaluated have not been compared to standard LPV in patients undergoing major abdominal surgery. Thirty-nine patients undergoing open radical cystectomy were enrolled in this study. In the study group (SG) optimal PEEP was determined by a decremental titration procedure and defined as the PEEP value resulting the highest static pulmonary compliance. In the control group (CG) PEEP was set to 6 cmH2O. Primary endpoints were intraoperative respiratory mechanics and gas exchange parameters. Secondary outcomes were perioperative procalcitonin kinetics and postoperative pulmonary complications. Optimal PEEP levels (median = 10, range: 8–14 cmH2O), PaO2/FiO2 (451.24 ± 121.78 mmHg vs. 404.15 ± 115.87 mmHg, P = 0.005) and static pulmonary compliance (52.54 ± 13.59 ml cmH2O-1 vs. 45.22 ± 9.13 ml cmH2O-1, P &lt; 0.0001) were significantly higher, while driving pressure (8.26 ± 1.74 cmH2O vs. 9.73 ± 4.02 cmH2O, P &lt; 0.0001) was significantly lower in the SG as compared to the CG. No significant intergroup differences were found in procalcitonin kinetics (P = 0.076). Composite outcome results indicated a non-significant reduction of postoperative complications in the SG. Intraoperative PEEP-optimization resulted in significant improvement in gas exchange and pulmonary mechanics as compared to standard LPV. Whether these have any effect on short and long term outcomes require further investigations. Trial registration: Clinicaltrials.gov, identifier: NCT02931409.","container-title":"Journal of clinical monitoring and computing","DOI":"10.1007/s10877-020-00519-6","issue":"3","note":"publisher: Springer Netherlands","page":"469-482","title":"Effects of intraoperative positive end-expiratory pressure optimization on respiratory mechanics and the inflammatory response: a randomized controlled trial","volume":"35","author":[{"family":"Ruszkai","given":"Zoltán; Kiss","suffix":"Erika; László, Ildikó; Bokrétás, Gergely Péter; Vizserálek, Dóra; Vámossy, Ildikó; Surány, Erika; Buzogány, István; Bajory, Zoltán; Molnár, Zsolt"}],"issued":{"date-parts":[["2020"]]}}},{"id":178,"uris":["http://zotero.org/users/local/L5HAWlIW/items/BNXF362C"],"itemData":{"id":178,"type":"article-journal","abstract":"NA","container-title":"The Lancet. Respiratory medicine","DOI":"10.1016/s2213-2600(18)30024-9","issue":"3","note":"publisher: Elsevier Limited","page":"193-203","title":"Individualised perioperative open-lung approach versus standard protective ventilation in abdominal surgery (iPROVE): a randomised controlled trial.","volume":"6","author":[{"family":"Ferrando","given":"Carlos; Soro","suffix":"Marina; Unzueta, Carmen; Suarez-Sipmann, Fernando; Canet, Jaume; Librero, Julián; Pozo, Natividad; Peiró, Salvador; Llombart, Alicia; León, Irene; India, Inmaculada; Aldecoa, Cesar; Diaz-Cambronero, Oscar; Pestaña, David; Redondo, Francisco J; Garutti, Ignacio; Balust, Jaume; García, Jose Ignacio; Ibáñez, Maite; Granell, M.; Rodríguez, Aurelio; Gallego, Lucía; de la Matta, Manuel; González, Rafael; Brunelli, Andrea; García, Javier Contreras; Rovira, Lucas; Barrios, Francisco; Torres, Vicente; Hernández, Samuel; Gracia, Estefania; Giné, Marta; Garcia, Maria; Garcia, Nuria; Miguel, Lisset; Sánchez, Sergio; Piñeiro, Patricia; Pujol, Roger; García-del-Valle, Santiago; Valdivia, José; Hernández, María; Padrón, Oto; Colás, Ana; Puig, Jaume; Azparren, Gonzalo; Tusman, Gerardo; Villar, Jesús; Belda, Javier; Acosta, Jesús; Aguilar, Gerardo; Alberola, María José; Alcón, Amalia; Alonso, Jose M.; Alonso, María Dolores; Anaya, Rafael; Argente, María Pilar; Agilaga, Marta; Arocas, Blanca; Asensio, Ana; Ayas, Begoña; Ayuso, Mercedes; Balandrón, Victor; Del Barrio, Maria; Bejarano, Natalia; Benítez, Inmaculada; Cabrera, Sergio; Carbonell, José A.; Carramiñana, Albert; Carrizo, Juan; Cegarra, Virginia; Chamorro, Estefanía; Charco, Pedro; Cruz, Patricia; Daviu, Francisco; De Fez, Mario; de Miguel, Angeles; Del Río, Elena; Delgado, Carlos; Díaz, Ruben; Díaz, Susana; Díez, Fernando; Dosdá, Rosa; Duca, Alejandro; Etulain, Ma Justina; Fernández, Carmen; Franco, Tania; Fuentes, Isabel; Gallego, Clara; Gallego-Casilda, Alberto; Galve, Ana Isabel; Garcés, Cristina; García, Mercedes; Garcia, Pablo; Garrigues, Beatriz; Gilabert, Vicente; González, Domingo; Gutierrez, Andrea; Hernández, Inmaculada; Izquierdo, Ana; Jurado, Ana; Katime, Antonio; Llamazares, Eduardo; Lardies, Rosa; Lisbona, Cristina; López-Herrera, Daniel; López, Ramiro; Lozano, Angels; Lozano, Elena; Marcos, José M.; Martín, Silvia; Martínez, Nilda; Martínez, Rocío; Martínez-Pallí, Graciella; Mazzinari, Guido; Miñana, Amanda; Moral, Victoria; Moreno, Tania; Mugarra, Ana; Muñoz, Lorena; Navarro, José I.; Olmedilla, Luis; Olmedo, Jonathan; Ojeda, Nazario; Parera, Ana; Parra, María Asunción; Parrilla, Cristina; Pastor, Ernesto; Peña, Natalia; Pérez, Ana María; Pérez, Jose María; Piqueras, Laura; Rico-Feijoo, Jesús; Rodríguez, Rayco; Román, Javier Ignacio; Romero, Antonio; Romero, Carolina; Romero, Esther; Ruiz, Isabel; Sánchez, Ester; Sandín, Francisco; Serralta, Ferran; Socorro, Tania; Soriano, Laura; Tisner, Manuel; Valencia, Lucía; Valls, Paola; Vaquero, Laura; Varón, Viviana; Vila, María; Villazala, Rubén; Villena, Abigail; Zapatero, Sara"}],"issued":{"date-parts":[["2018"]]}}},{"id":143,"uris":["http://zotero.org/users/local/L5HAWlIW/items/DLC97TPW"],"itemData":{"id":143,"type":"article-journal","abstract":"For patients undergoing robot-assisted radical prostatectomy, the pneumoperitoneum with a steep Trendelenburg position could worsen intraoperative respiratory mechanics and result in postoperative atelectasis. We investigated the effects of individualized positive end-expiratory pressure (PEEP) on postoperative atelectasis, evaluated using lung ultrasonography. Sixty patients undergoing robot-assisted radical prostatectomy were randomly allocated into two groups. Individualized groups (n = 30) received individualized PEEP determined by a decremental PEEP trial using 20 to 7 cm H2O, aiming at maximizing respiratory compliance, whereas standardized groups (n = 30) received a standardized PEEP of 7 cm H2O during the pneumoperitoneum. Ultrasound examination was performed on 12 sections of thorax, and the lung ultrasound score was measured as 0-3 by considering the number of B lines and the degree of subpleural consolidation. The primary outcome was the difference between the lung ultrasound scores measured before anesthesia induction and just after extubation in the operating room. An increase in the difference means the development of atelectasis. The optimal PEEP in the individualized group was determined as the median (interquartile range) 14 (12-18) cm H2O. Compared with the standardized group, the difference in the lung ultrasound scores was significantly smaller in the individualized group (-0.5 ± 2.7 vs. 6.0 ± 2.9, mean difference -6.53, 95% confidence interval (-8.00 to -5.07), p &lt; 0.001), which means that individualized PEEP was effective to reduce atelectasis. The lung ultrasound score measured after surgery was significantly lower in the individualized group than the standardized group (8.1 ± 5.7 vs. 12.2 ± 4.2, mean difference -4.13, 95% confidence interval (-6.74 to -1.53), p = 0.002). However, the arterial partial pressure of the oxygen/fraction of inspired oxygen levels during the surgery showed no significant time-group interaction between the two groups in repeated-measures analysis of variance (p = 0.145). The incidence of a composite of postoperative respiratory complications was comparable between the two groups. Individualized PEEP determined by maximal respiratory compliance during the pneumoperitoneum and steep Trendelenburg position significantly reduced postoperative atelectasis, as evaluated using lung ultrasonography. However, the clinical significance of this finding should be evaluated by a larger clinical trial.","container-title":"Journal of clinical medicine","DOI":"10.3390/jcm10040850","issue":"4","note":"publisher: Multidisciplinary Digital Publishing Institute (MDPI)","page":"850-NA","title":"The Effect of Ventilation with Individualized Positive End-Expiratory Pressure on Postoperative Atelectasis in Patients Undergoing Robot-Assisted Radical Prostatectomy: A Randomized Controlled Trial.","volume":"10","author":[{"family":"Yoon","given":"Hyun Kyu; Kim","suffix":"Bo Rim; Yoon, Susie; Jeong, Young Hyun; Ku, Ja Hyeon; Kim, Won Ho"}],"issued":{"date-parts":[["2021"]]}}},{"id":182,"uris":["http://zotero.org/users/local/L5HAWlIW/items/463AFJSV"],"itemData":{"id":182,"type":"article-journal","abstract":"&lt;AbstractText Label=\"BACKGROUND\"&gt;Driving pressure (ΔP = Plateau pressure-PEEP) is highly correlated with postoperative pulmonary complications (PPCs) and appears to be a promising indicator for optimizing ventilator settings. We hypothesized that dynamic, individualized positive end-expiratory pressure (PEEP) guided by ΔP could reduce postoperative atelectasis and improve intraoperative oxygenation, respiratory mechanics, and reduce the incidence of PPCs on elderly patients undergoing laparoscopic surgery.&lt;/AbstractText&gt; &lt;AbstractText Label=\"METHODS\"&gt;Fifty-one elderly patients who were subject to laparoscopic surgery participated in this randomized trial. In the PEEP titration group (DV group), the PEEP titration was decremented to the lowest ΔP and repeated every 1 h. Additional procedures were also performed when performing predefined events that may be associated with lung collapse. In the constant PEEP group (PV group), a PEEP of 6 cmH&lt;sub&gt;2&lt;/sub&gt;O was used throughout the surgery. Moreover, zero PEEP was applied during the entire procedure in the conventional ventilation group (CV group). The primary objective of this study was lung ultrasound score noted at the end of surgery and 15 min after admission to the post-anesthesia care unit (PACU) at 12 lung areas bilaterally. The secondary endpoints were perioperative oxygenation function, expiratory mechanics, and the incidence of the PPCs.&lt;/AbstractText&gt; &lt;AbstractText Label=\"RESULTS\"&gt;The lung ultrasound scores of the DV group were significantly lower than those in the PV group and CV group (P &amp;lt; 0.05), whereas there was no significant difference between the PV group and CV group (P &amp;gt; 0.05). The lung static compliance (Cstat) and ΔP at all the intraoperative time points in the DV group were significantly better compared to the PV group and the CV group (p &amp;lt; 0.05).&lt;/AbstractText&gt; &lt;AbstractText Label=\"CONCLUSIONS\"&gt;Intraoperative titrated PEEP reduced postoperative lung atelectasis and improved respiratory mechanics in elderly patients undergoing laparoscopic surgery. Meanwhile, standard PEEP strategy is not superior to conventional ventilation in reducing postoperative pulmonary atelectasis in laparoscopic surgery.&lt;/AbstractText&gt; &lt;CopyrightInformation&gt;© 2022. The Author(s).&lt;/CopyrightInformation&gt;","container-title":"BMC anesthesiology","DOI":"10.1186/s12871-022-01613-9","issue":"1","note":"publisher: BioMed Central","page":"72-NA","title":"Effects of dynamic individualized PEEP guided by driving pressure in laparoscopic surgery on postoperative atelectasis in elderly patients: a prospective randomized controlled trial.","volume":"22","author":[{"family":"Xu","given":"Qi; Guo","suffix":"Xiao; Liu, Jiang; Li, Si-Xun; Ma, Hai-Rui; Wang, Fei-Xiang; Lin, Jing-Yan"}],"issued":{"date-parts":[["2022"]]}}},{"id":149,"uris":["http://zotero.org/users/local/L5HAWlIW/items/HSM2JN5A"],"itemData":{"id":149,"type":"article-journal","abstract":"Abstract Background Higher intraoperative driving pressures (ΔP) are associated with increased postoperative pulmonary complications (PPC). We hypothesised that dynamic adjustment of PEEP throughout abdominal surgery reduces ΔP, maintains positive end-expiratory transpulmonary pressures (Ptp_ee) and increases respiratory system static compliance (Crs) with PEEP levels that are variable between and within patients. Methods In a prospective multicentre pilot study, adults at moderate/high risk for PPC undergoing elective abdominal surgery were randomised to one of three ventilation protocols: (1) PEEP≤2 cm H2O, compared with periodic recruitment manoeuvres followed by individualised PEEP to either optimise respiratory system compliance (PEEPmaxCrs) or maintain positive end-expiratory transpulmonary pressure (PEEPPtp_ee). The composite primary outcome included intraoperative ΔP, Ptp_ee, Crs, and PEEP values (median (interquartile range) and coefficients of variation [CVPEEP]). Results Thirty-seven patients (48.6% female; age range: 47–73 yr) were assigned to control (PEEP≤2 cm H2O; n=13), PEEPmaxCrs (n=16), or PEEPPtp_ee (n=8) groups. The PEEPPtp_ee intervention could not be delivered in two patients. Subjects assigned to PEEPmaxCrs had lower ΔP (median8 cm H2O [7–10]), compared with the control group (12 cm H2O [10–15]; P=0.006). PEEPmaxCrs was also associated with higher Ptp_ee (2.0 cm H2O [-0.7 to 4.5] vs controls: -8.3 cm H2O [-13.0 to -4.0]; P≤0.001) and higher Crs (47.7 ml cm H2O [43.2–68.8] vs controls: 39.0 ml cm H2O [32.9–43.4]; P=0.009). Individualised PEEP (PEEPmaxCrs and PEEPPtp_ee combined) varied widely (median: 10 cm H2O [8-15]; CVPEEP=0.24 [0.14–0.35]), both between, and within, subjects throughout surgery. Conclusions This pilot study suggests that individualised PEEP management strategies applied during abdominal surgery reduce driving pressure, maintain positive Ptp_ee and increase static compliance. The wide range of PEEP observed suggests that an individualised approach is required to optimise respiratory mechanics during abdominal surgery. Clinical trial registration NCT02671721.","container-title":"British journal of anaesthesia","DOI":"10.1016/j.bja.2020.06.030","issue":"3","note":"publisher: Oxford University Press","page":"383-392","title":"Individualized PEEP to optimise respiratory mechanics during abdominal surgery: a pilot randomised controlled trial","volume":"125","author":[{"family":"Fernandez-Bustamante","given":"Ana; Sprung","suffix":"Juraj; Parker, Robert A.; Bartels, Karsten; Weingarten, Toby N.; Kosour, Carolina; Thompson, B. Taylor; Melo, Marcos F. Vidal"}],"issued":{"date-parts":[["2020"]]}}},{"id":198,"uris":["http://zotero.org/users/local/L5HAWlIW/items/YALB6N24"],"itemData":{"id":198,"type":"article-journal","abstract":"Bariatric surgery has proven a successful approach in the treatment of morbid obesity and its concomitant diseases such as diabetes mellitus and arterial hypertension. Aiming for optimal management of this challenging patient cohort, tailored concepts directly guided by individual patient physiology may outperform standardized care. Implying esophageal pressure measurement and electrical impedance tomography—increasingly applied monitoring approaches to individually adjust mechanical ventilation in challenging circumstances like acute respiratory distress syndrome (ARDS) and intraabdominal hypertension—we compared our institutions standard ventilator regimen with an individually adjusted positive end expiratory pressure (PEEP) level aiming for a positive transpulmonary pressure (P L) throughout the respiratory cycle. After obtaining written informed consent, 37 patients scheduled for elective bariatric surgery were studied during mechanical ventilation in reverse Trendelenburg position. Before and after installation of capnoperitoneum, PEEP levels were gradually raised from a standard value of 10 cm H2O until a P L of 0 +/− 1 cm H2O was reached. Changes in ventilation were monitored by electrical impedance tomography (EIT) and arterial blood gases (ABGs) were obtained at the end of surgery and 5 and 60 min after extubation, respectively. To achieve the goal of a transpulmonary pressure (P L) of 0 cm H2O at end expiration, PEEP levels of 16.7 cm H2O (95% KI 15.6–18.1) before and 23.8 cm H2O (95% KI 19.6–40.4) during capnoperitoneum were necessary. EIT measurements confirmed an optimal PEEP level between 10 and 15 cm H2O before and 20 and 25 cm H2O during capnoperitoneum, respectively. Intra- and postoperative oxygenation did not change significantly. Patients during laparoscopic bariatric surgery require high levels of PEEP to maintain a positive transpulmonary pressure throughout the respiratory cycle. EIT monitoring allows for non-invasive monitoring of increasing PEEP demand during capnoperitoneum. Individually adjusted PEEP levels did not result in improved postoperative oxygenation.","container-title":"Obesity surgery","DOI":"10.1007/s11695-017-2794-3","issue":"1","note":"publisher: Springer New York","page":"122-129","title":"Intraoperative Ventilation of Morbidly Obese Patients Guided by Transpulmonary Pressure.","volume":"28","author":[{"family":"Eichler","given":"Lars; Truskowska","suffix":"Katarzyna; Duprée, Anna; Busch, Philipp; Goetz, Alwin E.; Zöllner, Christian"}],"issued":{"date-parts":[["2017"]]}}},{"id":133,"uris":["http://zotero.org/users/local/L5HAWlIW/items/UXWZNMU2"],"itemData":{"id":133,"type":"article-journal","abstract":"Background: Low tidal volume (VT) during anesthesia minimizes lung injury but may be associated to a decrease in functional lung volume impairing lung mechanics and efficiency. Lung recruitment (RM ...","container-title":"PloS one","DOI":"10.1371/journal.pone.0177399","issue":"5","note":"publisher: Public Library of Science","page":"e0177399-NA","title":"Open lung approach versus standard protective strategies : Effects on driving pressure and ventilatory efficiency during anesthesia - A pilot, randomized controlled trial","volume":"12","author":[{"family":"Ferrando","given":"Carlos; Suarez-Sipmann","suffix":"Fernando; Tusman, Gerardo; León, Irene; Romero, Esther; Gracia, Estefania; Mugarra, Ana; Arocas, Blanca; Pozo, Natividad; Soro, Marina; Belda, Francisco Javier"}],"issued":{"date-parts":[["2017"]]}}},{"id":1686,"uris":["http://zotero.org/users/local/L5HAWlIW/items/EFTPW42L"],"itemData":{"id":1686,"type":"article-journal","abstract":"BACKGROUND: Optimal intraoperative positive end‐expiratory pressure (PEEP) improves patient outcomes. Pulse oximetry has been used to determine the lung opening and closing pressures. Therefore, we hypothesized that intraoperative optimal PEEP obtained by titrating inspiratory oxygen fraction (FiO2) guided with pulse oximetry could improve perioperative oxygenation. METHODS: Forty‐six males undergoing elective robotic‐assisted laparoscopic prostatectomy were randomly assigned to either the optimal PEEP group (group O; n=23) or the fixed PEEP of 5 cmH2O group (group C; n=23). Optimal PEEP, defined as the PEEP with the lowest FiO2 or 0.21 to maintain SpO2 greater than or equal to 95%, was obtained in both groups after placing the patients in the Trendelenburg position and conducting intraperitoneal insufflation. Optimal PEEP was maintained for patients in group O. A PEEP of 5 cmH2O intraoperatively was maintained for patients in group C. Both groups were extubated in a semisitting position once the extubation criteria were met. The primary outcome was the arterial oxygen partial pressure (PaO2) divided by the inspiratory oxygen fraction (FiO2) prior to extubation. The secondary outcome was the incidence of postoperative hypoxemia (SpO2 less than 92% on room air after extubation) in the postanesthesia care unit (PACU). RESULTS: The median optimal PEEP was 16 cmH2O (IQR 12‐18). The PaO2/FiO2 prior to extubation was significantly higher in group O than in group C (77.0±4.9 kPa vs. 60.6±5.9 kPa; P=0.04). PaO2/FiO2 was also significantly higher in group O 30 minutes after extubation (57.6±1.9 vs. 46.6±1.8 kPa; P=0.01). The incidence of hypoxemia on room air in the PACU was significantly lower in group O than in group C (4.3% vs. 30.4%; P=0.02). CONCLUSIONS: Intraoperative optimal PEEP can be achieved by a titration of FiO2 guided with SpO2. Maintaining intraoperative optimal PEEP improves intraoperative oxygenation and reduces the incidence of postoperative hypoxemia. TRIAL REGISTRATION: The study was prospectively registered on September 10, 2021, in the Chinese Clinical Trial Registry (identifier: ChiCTR2100051010).","archive_location":"CN-02537259","container-title":"Annals of translational medicine","DOI":"10.21037/atm-22-4357","issue":"5","journalAbbreviation":"Annals of translational medicine","page":"203","title":"Optimal positive end-expiratory pressure obtained with titration of a fraction of inspiratory oxygen: a randomized controlled clinical trial","volume":"11","author":[{"family":"Gao","given":"L"},{"family":"Yang","given":"L"},{"family":"Pan","given":"L"},{"family":"Cui","given":"Y"},{"family":"Zhang","given":"J"}],"issued":{"date-parts":[["2023"]]}}},{"id":1570,"uris":["http://zotero.org/users/local/L5HAWlIW/items/V3SBX9HI"],"itemData":{"id":1570,"type":"article-journal","container-title":"British Journal of Anaesthesia","DOI":"10.1016/j.bja.2023.08.007","ISSN":"00070912","issue":"5","journalAbbreviation":"British Journal of Anaesthesia","language":"en","page":"955-965","source":"DOI.org (Crossref)","title":"Effect of driving pressure-guided positive end-expiratory pressure on postoperative pulmonary complications in patients undergoing laparoscopic or robotic surgery: a randomised controlled trial","title-short":"Effect of driving pressure-guided positive end-expiratory pressure on postoperative pulmonary complications in patients undergoing laparoscopic or robotic surgery","volume":"131","author":[{"family":"Kim","given":"Yoon Jung"},{"family":"Kim","given":"Bo Rim"},{"family":"Kim","given":"Hee Won"},{"family":"Jung","given":"Ji-Yoon"},{"family":"Cho","given":"Hye-Yeon"},{"family":"Seo","given":"Jeoung-Hwa"},{"family":"Kim","given":"Won Ho"},{"family":"Kim","given":"Hee-Soo"},{"family":"Hwangbo","given":"Suhyun"},{"family":"Yoon","given":"Hyun-Kyu"}],"issued":{"date-parts":[["2023",11]]}}},{"id":1518,"uris":["http://zotero.org/users/local/L5HAWlIW/items/RBGIT4XK"],"itemData":{"id":1518,"type":"article-journal","abstract":"Abstract\n            \n              The study aimed to investigate the efficacy of PCV-VG combined with individual PEEP during laparoscopic surgery in the Trendelenburg position. 120 patients were randomly divided into four groups: VF group (VCV plus 5cmH\n              2\n              O PEEP), PF group (PCV-VG plus 5cmH\n              2\n              O PEEP), VI group (VCV plus individual PEEP), and PI group (PCV-VG plus individual PEEP).\n              P\n              mean\n              ,\n              P\n              peak\n              , Cdyn, PaO\n              2\n              /FiO\n              2\n              ,\n              V\n              D\n              /V\n              T\n              , A-aDO\n              2\n              and Qs/Qt were recorded at T\n              1\n              (15 min after the induction of anesthesia), T\n              2\n              (60 min after pneumoperitoneum), and T\n              3\n              (5 min at the end of anesthesia). The CC16 and IL-6 were measured at T\n              1\n              and T\n              3\n              . Our results showed that the\n              P\n              mean\n              was increased in VI and PI group, and the\n              P\n              peak\n              was lower in PI group at T\n              2\n              . At T\n              2\n              and T\n              3\n              , the Cdyn of PI group was higher than that in other groups, and PaO\n              2\n              /FiO\n              2\n              was increased in PI group compared with VF and VI group. At T\n              2\n              and T\n              3\n              , A-aDO\n              2\n              of PI and PF group was reduced than that in other groups. The Qs/Qt was decreased in PI group compared with VF and VI group at T\n              2\n              and T\n              3\n              . At T\n              2\n              ,\n              V\n              D\n              /V\n              T\n              in PI group was decreased than other groups. At T\n              3\n              , the concentration of CC16 in PI group was lower compared with other groups, and IL-6 level of PI group was decreased than that in VF and VI group. In conclusion, the patients who underwent laparoscopic surgery, PCV-VG combined with individual PEEP produced favorable lung mechanics and oxygenation, and thus reducing inflammatory response and lung injury.\n            \n            \n              Clinical Trial registry\n              : chictr.org. identifier: ChiCTR-2100044928","container-title":"Journal of Clinical Monitoring and Computing","DOI":"10.1007/s10877-021-00750-9","ISSN":"1387-1307, 1573-2614","issue":"4","journalAbbreviation":"J Clin Monit Comput","language":"en","page":"1155-1164","source":"DOI.org (Crossref)","title":"Effect of pressure-controlled ventilation-volume guaranteed mode combined with individualized positive end-expiratory pressure on respiratory mechanics, oxygenation and lung injury in patients undergoing laparoscopic surgery in Trendelenburg position","volume":"36","author":[{"family":"Li","given":"Jianli"},{"family":"Ma","given":"Saixian"},{"family":"Chang","given":"Xiujie"},{"family":"Ju","given":"Songxu"},{"family":"Zhang","given":"Meng"},{"family":"Yu","given":"Dongdong"},{"family":"Rong","given":"Junfang"}],"issued":{"date-parts":[["2022",8]]}}},{"id":1612,"uris":["http://zotero.org/users/local/L5HAWlIW/items/5LCJJ8P3"],"itemData":{"id":1612,"type":"article-journal","abstract":"Laparoscopic total hysterectomy is performed by carbon dioxide insufflation, Trendelenburg position and mechanical ventilation of patients under general anesthesia. However, this may induce pulmonary atelectasis and/or hyperdistention of the lungs. Multiple studies have indicated that mechanical ventilation with the use of low tidal volumes, moderate positive end‐expiratory pressure (PEEP) and regular alveolar recruitment maneuvers may improve post‐operative outcomes. However, the benefits of an individualized level of PEEP have not been clearly established. In the present study, it was hypothesized that a moderate fixed PEEP may not suit all patients and an individually‐titrated PEEP during anesthesia may improve the peri‐operative pulmonary oxygenation function. The aim of the present study was to compare the pulmonary oxygenation function and post‐operative pulmonary complications (PPCs) in patients receiving individualized lung‐protective mechanical ventilation (LPV) vs. conventional ventilation (CV) during laparoscopic total hysterectomy. The present study was a randomized double‐blinded clinical trial on 87 patients who were randomly divided to receive CV or protective ventilation (PV). An optimal individualized PEEP value was determined using a static pulmonary compliance‐directed PEEP titration procedure. Pulmonary oxygenation function, serum inflammatory factors, including interleukin‐8 and Clara cell protein 16, the incidence of PPCs and the post‐operative length of stay were also determined. Patients in the PV group exhibited improved pulmonary oxygenation function during and after the operation. The total percentage of PPCs during the first 7 days after surgery was significantly lower in the PV group compared with those in the CV group. In conclusion, as compared to CV, intra‐operative individualized LPV significantly improved pulmonary oxygenation function and reduced the incidence of PPCs during the first 7 days after laparoscopic total hysterectomy (Clinical trial registration no. ChiCTR1900027738).","archive_location":"CN-02099494","container-title":"Experimental and therapeutic medicine","DOI":"10.3892/etm.2020.8549","issue":"4","journalAbbreviation":"Experimental and therapeutic medicine","page":"3051‐3059","title":"Individualized lung protective ventilation vs. Conventional ventilation during general anesthesia in laparoscopic total hysterectomy","volume":"19","author":[{"family":"Liu","given":"J"},{"family":"Huang","given":"X"},{"family":"Hu","given":"S"},{"family":"Meng","given":"Z"},{"family":"He","given":"H"}],"issued":{"date-parts":[["2020"]]}}},{"id":1568,"uris":["http://zotero.org/users/local/L5HAWlIW/items/5DJWX5NC"],"itemData":{"id":1568,"type":"article-journal","abstract":"Abstract\n            \n              Objective\n              To evaluate the effect of the individualized positive end-expiratory pressure (PEEP) lung protection ventilation strategy by combining driving pressure (ΔP) and pulmonary ultrasound (LUS)-based titration on lung function and postoperative cognitive function in patients with chronic obstructive pulmonary disease (COPD) during laparoscopic surgery.\n            \n            \n              Methods\n              \n                A total of 108 patients with COPD undergoing laparoscopic gastrointestinal surgery under general anesthesia were included in this study. They were randomly divided into three groups (n = 36): traditional volume ventilation group (Group C), fixed PEEP 5 cmH\n                2\n                O group (Group P), and ΔP combined with LUS-based PEEP titration in the resuscitation room group (Group T). All three groups were given volume ventilation mode, I:E = 1:2; In group C, VT was 10 mL/kg and PEEP was 0 cmH\n                2\n                O; In groups P and T, VT was 6 mL/kg and PEEP was 5 cmH\n                2\n                O; After mechanical ventilation for 15 min in Group T, ΔP in combination with LUS was used to titrate PEEP. The oxygenation index (PaO2/FiO2), airway platform pressure (Pplat), dynamic lung compliance (Cdyn), Montreal Cognitive Assessment (MoCA), and venous interleukin-6(IL-6) were recorded at the corresponding time points, and the final PEEP value in Group T was recorded.\n              \n            \n            \n              Results\n              \n                The final PEEP value of Group T was (6.4 ± 1.2) cmH\n                2\n                O; Compared with groups C and P: PaO\n                2\n                /FiO\n                2\n                and Cdyn in Group T were significantly increased (\n                P\n                 &lt; 0.05) and value of IL-6 was significantly decreased (\n                P\n                 &lt; 0.05) at the corresponding time points. Compared with group C, the MoCA score on day 7 after surgery in Group T was significantly higher (\n                P\n                 &lt; 0.05).\n              \n            \n            \n              Conclusion\n              Compared with the traditional ventilation strategy, the individualized ΔP combined with LUS-based PEEP titration in patients with COPD during the perioperative period of laparoscopic surgery can play a better role in lung protection and can improve postoperative cognitive function.","container-title":"BMC Pulmonary Medicine","DOI":"10.1186/s12890-023-02471-y","ISSN":"1471-2466","issue":"1","journalAbbreviation":"BMC Pulm Med","language":"en","page":"232","source":"DOI.org (Crossref)","title":"Effect of individualized PEEP titration by ultrasonography on perioperative pulmonary protection and postoperative cognitive function in patients with chronic obstructive pulmonary disease","volume":"23","author":[{"family":"Luo","given":"Lai-feng"},{"family":"Lin","given":"Yu-mei"},{"family":"Liu","given":"Ying"},{"family":"Gao","given":"Xiao-hua"},{"family":"Li","given":"Chui-yu"},{"family":"Zhang","given":"Xiao-qi"},{"family":"Wu","given":"Jian-hua"},{"family":"Chen","given":"Zhi-yuan"}],"issued":{"date-parts":[["2023",6,28]]}}},{"id":22,"uris":["http://zotero.org/users/local/L5HAWlIW/items/J95XU98Y"],"itemData":{"id":22,"type":"article-journal","container-title":"Surgery","DOI":"10.1016/j.surg.2021.01.047","ISSN":"00396060","issue":"1","journalAbbreviation":"Surgery","language":"en","note":"number: 1","page":"277-283","source":"DOI.org (Crossref)","title":"Effect of driving pressure-guided positive end-expiratory pressure (PEEP) titration on postoperative lung atelectasis in adult patients undergoing elective major abdominal surgery: A randomized controlled trial","title-short":"Effect of driving pressure-guided positive end-expiratory pressure (PEEP) titration on postoperative lung atelectasis in adult patients undergoing elective major abdominal surgery","volume":"170","author":[{"family":"Mini","given":"Gouri"},{"family":"Ray","given":"Bikash R."},{"family":"Anand","given":"Rahul K."},{"family":"Muthiah","given":"Thilaka"},{"family":"Baidya","given":"Dalim K."},{"family":"Rewari","given":"Vimi"},{"family":"Sahni","given":"Peush"},{"family":"Maitra","given":"Souvik"}],"issued":{"date-parts":[["2021",7]]}}},{"id":1667,"uris":["http://zotero.org/users/local/L5HAWlIW/items/C4CXU7ZP"],"itemData":{"id":1667,"type":"article-journal","abstract":"Objective To investigate the effect of individualized positive end expiratory pressure (PEEP) setting guided by chest electrical impedance tomography (EIT) on the incidence of hypoxemia in elderly patients undergoing robot‑assisted radical prostatectomy in the post anesthesia care unit (PACU). Methods From September 2020 to October 2021, sixty elderly patients, with the American Association of Anesthesiologists (ASA) of Grade Ⅰ to Ⅲ, who underwent selective robot‑assisted radical prostatectomy under general anesthesia in the Cancer Hospital Affiliated to Fudan University were selected. The participants were divided into two groups by the minimum randomized grouping method: EIT‑PEEP group (EP group, n=30) and fixed PEEP group (FP group, n=30). After completion of tracheal intubation and establishment of pneumoperitoneum flexion posture, the individualized PEEP setting was guided by EIT in EP group, and the PEEP setting in FP group was 5 cmH2O (1 cmH2O=0.098 kPa) to the end of operation. During the operation, the ventilation mode of pressure regulation volume control was adopted. The driving pressure, dynamic lung compliance (Cdyn), oxygenation index and hemodynamics were recorded at 5 min (T1), 30 min (T2), 60 min (T3) after PEEP setting and at the time of tracheal catheter removal (T4) in both groups. The primary end point was the incidence of hypoxemia in PACU after extubation. Results The incidence of hypoxemia after extubation was 3.3% (1/30) in EP group and 26.7% (8/ 30) in FP group (P=0.030). The difference of driving pressure between the two groups at T2 [(13.1± 2.4) cmH2O vs (14.9±2.9) cmH2O, P=0.012], T3 [(12.7±2.4) cmH2O vs (15.6±2.8) cmH2O, P&lt;0.001] was statistically significant. In EP group, Cdyn was improved at T2 [(38.4±7.2) ml/cmH2O vs (31.9±5.2) ml/cmH2O, P=0.006] and T3 [(37.5</w:instrText>
      </w:r>
      <w:r w:rsidR="0025344E">
        <w:rPr>
          <w:rFonts w:cs="Times New Roman"/>
          <w:lang w:val="en-US"/>
        </w:rPr>
        <w:instrText>��</w:instrText>
      </w:r>
      <w:r w:rsidR="0025344E">
        <w:rPr>
          <w:lang w:val="en-US"/>
        </w:rPr>
        <w:instrText xml:space="preserve">9.0) ml/cmH2O vs (30.4±5.9) ml/cmH2O, P=0.001]. In EP group, PaO2/FiO2 increased at T1 [(465.7±84.5) mmHg vs (383.5±58.0) mmHg, 1 mmHg=0.133 kPa, P&lt; 0.001], T2 [(504.7±105.8) mmHg vs (418.9±73.7) mmHg, P=0.001], T3 [(520.7±92.2) mmHg vs (423.2±90.7) mmHg, P&lt;0.001], T4 [(368.7±42.0) mmHg vs (339.5±54.9) mmHg, P=0.024]. Conclusion The individualized PEEP setting guided by EIT can reduce the incidence of hypoxemia in elderly patients undergoing robot assisted radical prostatectomy in PACU.","archive_location":"CN-02613242","container-title":"Zhonghua yi xue za zhi","DOI":"10.3760/cma.j.cn112137-20220415-00818","issue":"47","journalAbbreviation":"Zhonghua yi xue za zhi","page":"3727‐3733","title":"Effect of EIT-guided individualized PEEP setting on the incidence of hypoxemia in elderly patients undergoing robot-assisted radical prostatectomy","volume":"102","author":[{"family":"Pan","given":"LL"},{"family":"Gao","given":"LL"},{"family":"Yang","given":"L"},{"family":"Pan","given":"CX"},{"family":"Yin","given":"YH"},{"family":"Zhu","given":"Y"},{"family":"Zhang","given":"J"}],"issued":{"date-parts":[["2022"]]}}},{"id":168,"uris":["http://zotero.org/users/local/L5HAWlIW/items/67NQ5YJS"],"itemData":{"id":168,"type":"article-journal","abstract":"BACKGROUND The creation of pneumoperitoneum during laparoscopic surgery can lead to adverse effects on the respiratory system. Positive end-expiratory pressure (PEEP) plays an important role in mechanical ventilation during laparoscopic surgery. OBJECTIVE To evaluate whether PEEP setting guided by oesophageal pressure (Poeso) measurement would affect oxygenation and respiratory mechanics during laparoscopic gynaecological surgery. DESIGN A randomised controlled study. SETTING A single-centre trial from March 2018 to June 2018. PATIENTS Forty-four adult patients undergoing laparoscopic gynaecological surgery with anticipated duration of surgery more than 2 h. INTERVENTION PEEP set according to Poeso measurement (intervention group) versus PEEP constantly set at 5 cmH2O (control group). MAIN OUTCOME MEASURES Gas exchange and respiratory mechanics after induction and intubation (T0) and at 15 and 60 min after initiation of pneumoperitoneum (T1 and T2, respectively). RESULTS PEEP during pneumoperitoneum was significantly higher in the intervention group than in the control group (T1, 12.5 ± 1.9 vs. 5.0 ± 0.0 cmH2O and T2, 12.4 ± 1.9 vs. 5.0 ± 0.0 cmH2O, both P &lt; 0.001). Partial pressures of oxygen decreased significantly from baseline during pneumoperitoneum in the control group but not in the intervention group. Nevertheless, the changes in partial pressures of oxygen did not differ between groups. Compliance of the respiratory system (CRS) significantly decreased and driving pressure significantly increased during pneumoperitoneum in both groups. However, the changes in CRS and driving pressure were significantly less in the intervention group. Transpulmonary pressure during expiration was maintained in the intervention group while it decreased significantly in the control group. CONCLUSION PEEP setting guided by Poeso measurement showed no beneficial effects in terms of oxygenation but respiratory mechanics were better during laparoscopic gynaecological surgery. TRIAL REGISTRATION ClinicalTrials.gov identifier: NCT03256396.","container-title":"European journal of anaesthesiology","DOI":"10.1097/eja.0000000000001204","issue":"11","note":"publisher: Wolters Kluwer Health","page":"1032-1039","title":"Effects of intra-operative positive end-expiratory pressure setting guided by oesophageal pressure measurement on oxygenation and respiratory mechanics during laparoscopic gynaecological surgery: A randomised controlled trial.","volume":"37","author":[{"family":"Piriyapatsom","given":"Annop; Phetkampang","suffix":"Sanchai"}],"issued":{"date-parts":[["2020"]]}}},{"id":1566,"uris":["http://zotero.org/users/local/L5HAWlIW/items/5KHQPKBX"],"itemData":{"id":1566,"type":"article-journal","container-title":"Egyptian Journal of Anaesthesia","DOI":"10.1080/11101849.2023.2230050","ISSN":"1110-1849","issue":"1","journalAbbreviation":"Egyptian Journal of Anaesthesia","language":"en","page":"496-501","source":"DOI.org (Crossref)","title":"Effect of individualized intraoperative lung recruitment maneuver on postoperative pulmonary complications in patients undergoing upper abdominal surgeries under general anesthesia","volume":"39","author":[{"family":"Mohammad Salama","given":"Mohammad Elhossieny"},{"family":"El-Taher","given":"Ezzat Mohamed"},{"family":"Abdel-Rahman Al-Touny","given":"Ahmad Hamed"},{"family":"Ismail","given":"Reda Aboelmagd"},{"family":"Abdel-Ghaffar","given":"Mohamed Emad Eldin"}],"issued":{"date-parts":[["2023",12,31]]}}},{"id":1564,"uris":["http://zotero.org/users/local/L5HAWlIW/items/FCGMMFJC"],"itemData":{"id":1564,"type":"article-journal","abstract":"Introduction\n              \n                During pneumoperitoneum (PNP), airway driving pressure (ΔP\n                RS\n                ) increases due to the stiffness of the chest wall and cephalic shift of the diaphragm, which favors atelectasis. In addition, depending on the mechanical power (MP) formulas, they may lead to different interpretations.\n              \n            \n            \n              Methods\n              \n                Patients &amp;gt;18 years of age with body mass index &amp;gt;35 kg/m\n                2\n                were included in a single-center randomized controlled trial during their admission for bariatric surgery by abdominal laparoscopy. Intra-abdominal pressure was set at 15 mmHg at the pneumoperitoneum time point (PNP). After the recruitment maneuver, the lowest respiratory system elastance (E\n                RS\n                ) was detected during the positive end-expiratory pressure (PEEP) step-wise decrement. Patients were randomized to the 1) CTRL group: ventilated with PEEP of 5 cmH\n                2\n                O and 2) PEEP\n                IND\n                group: ventilated with PEEP value associated with E\n                RS\n                that is 5% higher than its lowest level. Respiratory system mechanics and mean arterial pressure (MAP) were assessed at the PNP, 5 min after randomization (T1), and at the end of the ventilation protocol (T2); arterial blood gas was assessed at PNP and T2. ΔP\n                RS\n                was the primary outcome. Three MP formulas were used: MP\n                A\n                , which computes static PEEP × volume, elastic, and resistive components; MP\n                B\n                , which computes only the elastic component; and MP\n                C\n                , which computes static PEEP × volume, elastic, and resistive components without inspiratory holds.\n              \n            \n            \n              Results\n              \n                Twenty-eight patients were assessed for eligibility: eight were not included and 20 patients were randomized and allocated to CTRL and PEEP\n                IND\n                groups (\n                n\n                = 10/group). The PEEP\n                IND\n                ventilator strategy reduced ΔP\n                RS\n                when compared with the CTRL group (PEEP\n                IND\n                , 13 ± 2 cmH\n                2\n                O; CTRL, 22 ± 4 cmH\n                2\n                O;\n                p\n                &amp;lt; 0.001). Oxygenation improved in the PEEP\n                IND\n                group when compared with the CTRL group (\n                p\n                = 0.029), whereas MAP was comparable between the PEEP\n                IND\n                and CTRL groups. At the end of surgery, MP\n                A\n                and MP\n                B\n                were correlated in both the CTRL (rho = 0.71,\n                p\n                = 0.019) and PEEP\n                IND\n                (rho = 0.84,\n                p\n                = 0.020) groups but showed different bias (CTRL, −1.9 J/min; PEEP\n                IND\n                , +10.0 J/min). At the end of the surgery, MP\n                A\n                and MP\n                C\n                were correlated in both the CTRL (rho = 0.71,\n                p\n                = 0.019) and PEEP\n                IND\n                (rho = 0.84,\n                p\n                = 0.020) groups but showed different bias (CTRL, −1.9 J/min; PEEP\n                IND\n                , +10.0 J/min).\n              \n            \n            \n              Conclusion\n              \n                Individualized PEEP was associated with a reduction in ΔP\n                RS\n                and an improvement in oxygenation with comparable MAP. The MP, which solely computes the elastic component, better reflected the improvement in ΔP\n                RS\n                observed in the individualized PEEP group.\n              \n            \n            \n              Clinical Trial Registration:\n              The protocol was registered at the Brazilian Registry of Clinical Trials (U1111-1220-7296).","container-title":"Frontiers in Physiology","DOI":"10.3389/fphys.2024.1383167","ISSN":"1664-042X","journalAbbreviation":"Front. Physiol.","page":"1383167","source":"DOI.org (Crossref)","title":"Individualized positive end-expiratory pressure reduces driving pressure in obese patients during laparoscopic surgery under pneumoperitoneum: a randomized clinical trial","title-short":"Individualized positive end-expiratory pressure reduces driving pressure in obese patients during laparoscopic surgery under pneumoperitoneum","volume":"15","author":[{"family":"Xavier","given":"Tiago Batista"},{"family":"Coelho","given":"Leonardo Vicente"},{"family":"Ferreira","given":"Daniel Antonio Lopes"},{"family":"Cota Y Raposeiras","given":"José Manuel"},{"family":"Duran","given":"Marcelo Sampaio"},{"family":"Silva","given":"Leticia Almeida"},{"family":"Motta-Ribeiro","given":"Gabriel Casulari Da"},{"family":"Camilo","given":"Luciana Moisés"},{"family":"Carvalho","given":"Alysson Roncally Silva"},{"family":"Silva","given":"Pedro Leme"}],"issued":{"date-parts":[["2024",4,5]]}}},{"id":1558,"uris":["http://zotero.org/users/local/L5HAWlIW/items/QIKG7S9M"],"itemData":{"id":1558,"type":"article-journal","container-title":"Diabetes, Metabolic Syndrome and Obesity","DOI":"10.2147/DMSO.S405804","ISSN":"1178-7007","journalAbbreviation":"DMSO","language":"en","license":"https://creativecommons.org/licenses/by-nc/3.0/","page":"1515-1523","source":"DOI.org (Crossref)","title":"Driving Pressure-Guided Ventilation in Obese Patients Undergoing Laparoscopic Sleeve Gastrectomy: A Randomized Controlled Trial","title-short":"Driving Pressure-Guided Ventilation in Obese Patients Undergoing Laparoscopic Sleeve Gastrectomy","volume":"Volume 16","author":[{"family":"Yang","given":"Guanyu"},{"family":"Zhang","given":"Pin"},{"family":"Li","given":"Liumei"},{"family":"Wang","given":"Jingjing"},{"family":"Jiao","given":"Pengfei"},{"family":"Wang","given":"Jie"},{"family":"Chu","given":"Qinjun"}],"issued":{"date-parts":[["2023",5]]}}},{"id":157,"uris":["http://zotero.org/users/local/L5HAWlIW/items/9I65CFBK"],"itemData":{"id":157,"type":"article-journal","abstract":"Background The optimal positive end-expiratory pressure (PEEP) to prevent postoperative pulmonary complications (PPCs) remains unclear. Recent evidence showed that driving pressure was closely related to PPCs. In this study, we tested the hypothesis that an individualized PEEP guided by minimum driving pressure during abdominal surgery would reduce the incidence of PPCs. Methods This single-centered, randomized controlled trial included a total of 148 patients scheduled for open upper abdominal surgery. Patients were randomly assigned to receive an individualized PEEP guided by minimum driving pressure or an empiric fixed PEEP of 6 cm H2O. The primary outcome was the incidence of clinically significant PPCs within the first 7 days after surgery, using a χ2 test. Secondary outcomes were the severity of PPCs, the area of atelectasis, and pleural effusion. Other outcomes, such as the incidence of different types of PPCs (including hypoxemia, atelectasis, pleural effusion, dyspnea, pneumonia, pneumothorax, and acute respiratory distress syndrome), intensive care unit (ICU) admission rate, length of hospital stay, and 30-day mortality were also explored. Results The median value of PEEP in the individualized group was 10 cm H2O. The incidence of clinically significant PPCs was significantly lower in the individualized PEEP group compared with that in the fixed PEEP group (26 of 67 [38.8%] vs 42 of 67 [62.7%], relative risk = 0.619, 95% confidence intervals, 0.435-0.881; P = .006). The overall severity of PPCs and the area of atelectasis were also significantly diminished in the individualized PEEP group. Higher respiratory compliance during surgery and improved intra- and postoperative oxygenation was observed in the individualized group. No significant differences were found in other outcomes between the 2 groups, such as ICU admission rate or 30-day mortality. Conclusions The application of individualized PEEP based on minimum driving pressure may effectively decrease the severity of atelectasis, improve oxygenation, and reduce the incidence of clinically significant PPCs after open upper abdominal surgery.","container-title":"Anesthesia and analgesia","DOI":"10.1213/ane.0000000000005575","issue":"5","note":"publisher: Lippincott Williams and Wilkins","page":"1197-1205","title":"Driving Pressure-Guided Individualized Positive End-Expiratory Pressure in Abdominal Surgery: A Randomized Controlled Trial.","volume":"133","author":[{"family":"Zhang","given":"Chengmi; Xu","suffix":"Fengying; Li, Weiwei; Tong, Xingyu; Xia, Ran; Wang, Wei; Du, Jianer; Shi, Xueyin"}],"issued":{"date-parts":[["2021"]]}}},{"id":1556,"uris":["http://zotero.org/users/local/L5HAWlIW/items/BRUJD782"],"itemData":{"id":1556,"type":"article-journal","abstract":"Abstract\n            \n              To investigate whether driving pressure–guided ventilation could contribute to a more homogeneous distribution in the lung for gynecological laparoscopy. Chinese patients were randomized, after pneumoperitoneum, to receive either positive end expiratory pressure (PEEP) of 5 cm H\n              2\n              O (control group), or individualized PEEP producing the lowest driving pressure (titration group). Ventilation homogeneity is quantified as the global inhomogeneity (GI) index based on electrical impedance tomography, with a lower index implying more homogeneous ventilation. The perioperative arterial oxygenation index and respiratory system mechanics were also recorded. Blood samples were collected for lung injury biomarkers including interleukin-10, neutrophil elastase, and Clara Cell protein-16. A total of 48 patients were included for analysis. We observed a significant increase in the GI index immediately after tracheal extubation compared to preinduction in the control group (\n              p\n               = 0.040) but not in the titration group (\n              p\n               = 0.279). Furthermore, the GI index was obviously lower in the titration group than in the control group [0.390 (0.066) vs 0.460 (0.074),\n              p\n               = 0.0012]. The oxygenation index and respiratory compliance were significantly higher in the titration group than in the control group. No significant differences in biomarkers or hemodynamics were detected between the two groups. Driving pressure–guided PEEP led to more homogeneous ventilation, as well as improved gas exchange and respiratory compliance for patients undergoing gynecological laparoscopy.\n            \n            \n              Trial Registration\n              : ClinicalTrials.gov NCT04374162; first registration on 05/05/2020.","container-title":"Scientific Reports","DOI":"10.1038/s41598-022-26144-8","ISSN":"2045-2322","issue":"1","journalAbbreviation":"Sci Rep","language":"en","page":"21687","source":"DOI.org (Crossref)","title":"Driving pressure-guided ventilation improves homogeneity in lung gas distribution for gynecological laparoscopy: a randomized controlled trial","title-short":"Driving pressure-guided ventilation improves homogeneity in lung gas distribution for gynecological laparoscopy","volume":"12","author":[{"family":"Zhang","given":"Wei"},{"family":"Liu","given":"Feifei"},{"family":"Zhao","given":"Zhanqi"},{"family":"Shao","given":"Chunqing"},{"family":"Xu","given":"Xin"},{"family":"Ma","given":"Jiajia"},{"family":"Han","given":"Ruquan"}],"issued":{"date-parts":[["2022",12,15]]}}},{"id":1554,"uris":["http://zotero.org/users/local/L5HAWlIW/items/RGSHQSMS"],"itemData":{"id":1554,"type":"article-journal","abstract":"Abstract\n            \n              Background\n              This trial aimed to evaluate the effects of a protective ventilation strategy on oxygenation/pulmonary indexes in patients undergoing robot-assisted radical prostatectomy (RARP) in the steep Trendelenburg position.\n            \n            \n              Methods\n              \n                In phase 1, the most optimal positive end-expiratory pressure (PEEP) was determined in 25 patients at 11 cmH\n                2\n                O. In phase 2, 64 patients were randomized to the traditional ventilation group with tidal volume (VT) of 9 ml/kg of predicted body weight (PBW) and the protective ventilation group with VT of 7 ml/kg of PBW with optimal PEEP and recruitment maneuvers (RMs). The primary endpoint was the intraoperative and postoperative PaO\n                2\n                /FiO\n                2\n                . The secondary endpoints were the PaCO\n                2\n                , SpO\n                2\n                , modified clinical pulmonary infection score (mCPIS), and the rate of complications in the postoperative period.\n              \n            \n            \n              Results\n              \n                Compared with controls, PaO\n                2\n                /FiO\n                2\n                in the protective group increased after the second RM (\n                P\n                =0.018), and the difference remained until postoperative day 3 (\n                P\n                =0.043). PaCO\n                2\n                showed transient accumulation in the protective group after the first RM (T2), but this phenomenon disappeared with time. SpO\n                2\n                in the protective group was significantly higher during the first three postoperative days. Lung compliance was significantly improved after the second RM in the protective group (\n                P\n                =0.025). The mCPIS was lower in the protective group on postoperative day 3 (0.59 (1.09) vs. 1.46 (1.27),\n                P\n                =0.010).\n              \n            \n            \n              Conclusion\n              A protective ventilation strategy with lower VT combined with optimal PEEP and RMs could improve oxygenation and reduce mCPIS in patients undergoing RARP.\n            \n            \n              Trial registration\n              \n                ChiCTR\n                ChiCTR1800015626\n                . Registered on 12 April 2018.","container-title":"Trials","DOI":"10.1186/s13063-021-05310-9","ISSN":"1745-6215","issue":"1","journalAbbreviation":"Trials","language":"en","page":"351","source":"DOI.org (Crossref)","title":"Protective mechanical ventilation with optimal PEEP during RARP improves oxygenation and pulmonary indexes","volume":"22","author":[{"family":"Zhou","given":"Jianwei"},{"family":"Wang","given":"Chuanguang"},{"family":"Lv","given":"Ran"},{"family":"Liu","given":"Na"},{"family":"Huang","given":"Yan"},{"family":"Wang","given":"Wu"},{"family":"Yu","given":"Lina"},{"family":"Xie","given":"Junran"}],"issued":{"date-parts":[["2021",12]]}}},{"id":1562,"uris":["http://zotero.org/users/local/L5HAWlIW/items/ANKXGAEQ"],"itemData":{"id":1562,"type":"article-journal","abstract":"Background\n              Electrical impedance tomography (EIT) has been shown to be useful in guiding individual positive end-expiratory pressure titration for patients with mechanical ventilation. However, the appropriate positive end-expiratory pressure (PEEP) level and whether the individualized PEEP needs to be adjusted during long-term surgery (&amp;gt;6 h) were unknown. Meanwhile, the effect of individualized PEEP on the distribution of pulmonary ventilation in patients who receive abdominal thermoperfusion chemotherapy is unknown. The primary aim of this study was to observe the effect of EIT-guided PEEP on the distribution of pulmonary ventilation in patients undergoing cytoreductive surgery (CRS) combined with hot intraperitoneal chemotherapy (HIPEC). The secondary aim was to analyze their effect on postoperative pulmonary complications.\n            \n            \n              Methods\n              \n                A total of 48 patients were recruited and randomly divided into two groups, with 24 patients in each group. For the control group (group A), PEEP was set at 5 cm H\n                2\n                O, while in the EIT group (group B), individual PEEP was titrated and adjusted every 2 h with EIT guidance. Ventilation distribution, respiratory/circulation parameters, and PPC incidence were compared between the two groups.\n              \n            \n            \n              Results\n              \n                The average individualized PEEP was 10.3 ± 1.5 cm H\n                2\n                O, 10.2 ± 1.6 cm H\n                2\n                O, 10.1 ± 1.8 cm H\n                2\n                O, and 9.7 ± 2.1 cm H\n                2\n                O at 5 min, 2 h, 4 h, and 6 h after tracheal intubation during CRS + HIPEC. Individualized PEEP was correlated with ventilation distribution in the regions of interest (ROI) 1 and ROI 3 at 4 h mechanical ventilation and ROI 1 at 6 h mechanical ventilation. The ventilation distribution under individualized PEEP was back-shifted for 6 h but moved to the control group’s ventral side under PEEP 5 cm H\n                2\n                O. The respiratory and circulatory function indicators were both acceptable either under individualized PEEP or PEEP 5 cm H\n                2\n                O. The incidence of total PPCs was significantly lower under individualized PEEP (66.7%) than PEEP 5 cm H\n                2\n                O (37.5%) for patients with CRS + HIPEC.\n              \n            \n            \n              Conclusion\n              \n                The appropriate individualized PEEP was stable at approximately 10 cm H\n                2\n                O during 6 h for patients with CRS + HIPEC, along with better ventilation distribution and a lower total PPC incidence than the fixed PEEP of 5 cm H\n                2\n                O.\n              \n              \n                Clinical trial registration:\n                identifier ChiCTR1900023897.","container-title":"Frontiers in Medicine","DOI":"10.3389/fmed.2023.1198720","ISSN":"2296-858X","journalAbbreviation":"Front. Med.","page":"1198720.","source":"DOI.org (Crossref)","title":"Effect of individualized positive end-expiratory pressure based on electrical impedance tomography guidance on pulmonary ventilation distribution in patients who receive abdominal thermal perfusion chemotherapy","volume":"10","author":[{"family":"Xiao","given":"Li"},{"family":"Yu","given":"Kang"},{"family":"Yang","given":"Jiao-Jiao"},{"family":"Liu","given":"Wen-Tao"},{"family":"Liu","given":"Lei"},{"family":"Miao","given":"Hui-Hui"},{"family":"Li","given":"Tian-Zuo"}],"issued":{"date-parts":[["2023",9,5]]}}}],"schema":"https://github.com/citation-style-language/schema/raw/master/csl-citation.json"} </w:instrText>
      </w:r>
      <w:r w:rsidR="00F92D92" w:rsidRPr="00483D15">
        <w:rPr>
          <w:lang w:val="en-US"/>
        </w:rPr>
        <w:fldChar w:fldCharType="separate"/>
      </w:r>
      <w:r w:rsidR="0025344E" w:rsidRPr="0025344E">
        <w:rPr>
          <w:rFonts w:cs="Times New Roman"/>
          <w:kern w:val="0"/>
        </w:rPr>
        <w:t>[1,3,6,13,15,45,46,48,50–53,55–60,62–67]</w:t>
      </w:r>
      <w:r w:rsidR="00F92D92" w:rsidRPr="00483D15">
        <w:rPr>
          <w:lang w:val="en-US"/>
        </w:rPr>
        <w:fldChar w:fldCharType="end"/>
      </w:r>
      <w:r w:rsidRPr="00483D15">
        <w:rPr>
          <w:lang w:val="en-US"/>
        </w:rPr>
        <w:t xml:space="preserve"> were longer among patients receiving individualized PEEP. However, statistical significance was observed only for </w:t>
      </w:r>
      <w:r w:rsidRPr="00483D15">
        <w:rPr>
          <w:lang w:val="en-US"/>
        </w:rPr>
        <w:lastRenderedPageBreak/>
        <w:t>the latter outcome, with neither reaching a mean difference of 5 minutes (MD = +0.49 minutes, 95% CI: −6.08 to 7.06; MD = +4.82 minutes, 95% CI: −2.84 to 6.81, respectively) (</w:t>
      </w:r>
      <w:r w:rsidR="003E3927">
        <w:rPr>
          <w:lang w:val="en-US"/>
        </w:rPr>
        <w:fldChar w:fldCharType="begin"/>
      </w:r>
      <w:r w:rsidR="003E3927">
        <w:rPr>
          <w:lang w:val="en-US"/>
        </w:rPr>
        <w:instrText xml:space="preserve"> REF _Ref204004283 \h </w:instrText>
      </w:r>
      <w:r w:rsidR="003E3927">
        <w:rPr>
          <w:lang w:val="en-US"/>
        </w:rPr>
      </w:r>
      <w:r w:rsidR="003E3927">
        <w:rPr>
          <w:lang w:val="en-US"/>
        </w:rPr>
        <w:fldChar w:fldCharType="separate"/>
      </w:r>
      <w:proofErr w:type="spellStart"/>
      <w:r w:rsidR="007F7DB3">
        <w:t>Figure</w:t>
      </w:r>
      <w:proofErr w:type="spellEnd"/>
      <w:r w:rsidR="007F7DB3">
        <w:t xml:space="preserve"> </w:t>
      </w:r>
      <w:r w:rsidR="007F7DB3">
        <w:rPr>
          <w:noProof/>
        </w:rPr>
        <w:t>11</w:t>
      </w:r>
      <w:r w:rsidR="003E3927">
        <w:rPr>
          <w:lang w:val="en-US"/>
        </w:rPr>
        <w:fldChar w:fldCharType="end"/>
      </w:r>
      <w:r w:rsidR="003E3927">
        <w:rPr>
          <w:lang w:val="en-US"/>
        </w:rPr>
        <w:t xml:space="preserve">and </w:t>
      </w:r>
      <w:r w:rsidR="003E3927">
        <w:rPr>
          <w:lang w:val="en-US"/>
        </w:rPr>
        <w:fldChar w:fldCharType="begin"/>
      </w:r>
      <w:r w:rsidR="003E3927">
        <w:rPr>
          <w:lang w:val="en-US"/>
        </w:rPr>
        <w:instrText xml:space="preserve"> REF _Ref204004287 \h </w:instrText>
      </w:r>
      <w:r w:rsidR="003E3927">
        <w:rPr>
          <w:lang w:val="en-US"/>
        </w:rPr>
      </w:r>
      <w:r w:rsidR="003E3927">
        <w:rPr>
          <w:lang w:val="en-US"/>
        </w:rPr>
        <w:fldChar w:fldCharType="separate"/>
      </w:r>
      <w:proofErr w:type="spellStart"/>
      <w:r w:rsidR="007F7DB3">
        <w:t>Figure</w:t>
      </w:r>
      <w:proofErr w:type="spellEnd"/>
      <w:r w:rsidR="007F7DB3">
        <w:t xml:space="preserve"> </w:t>
      </w:r>
      <w:r w:rsidR="007F7DB3">
        <w:rPr>
          <w:noProof/>
        </w:rPr>
        <w:t>12</w:t>
      </w:r>
      <w:r w:rsidR="003E3927">
        <w:rPr>
          <w:lang w:val="en-US"/>
        </w:rPr>
        <w:fldChar w:fldCharType="end"/>
      </w:r>
      <w:r w:rsidRPr="00483D15">
        <w:rPr>
          <w:lang w:val="en-US"/>
        </w:rPr>
        <w:t>).</w:t>
      </w:r>
    </w:p>
    <w:p w14:paraId="5405D7ED" w14:textId="77777777" w:rsidR="00613605" w:rsidRDefault="00DF6BA3" w:rsidP="00613605">
      <w:pPr>
        <w:keepNext/>
      </w:pPr>
      <w:r>
        <w:rPr>
          <w:noProof/>
        </w:rPr>
        <w:drawing>
          <wp:inline distT="0" distB="0" distL="0" distR="0" wp14:anchorId="0E177DF2" wp14:editId="003CB685">
            <wp:extent cx="5400040" cy="6477000"/>
            <wp:effectExtent l="19050" t="19050" r="10160" b="19050"/>
            <wp:docPr id="423437905" name="Picture 5" descr="A screenshot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437905" name="Picture 5" descr="A screenshot of a report&#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6477000"/>
                    </a:xfrm>
                    <a:prstGeom prst="rect">
                      <a:avLst/>
                    </a:prstGeom>
                    <a:noFill/>
                    <a:ln>
                      <a:solidFill>
                        <a:schemeClr val="tx1"/>
                      </a:solidFill>
                    </a:ln>
                  </pic:spPr>
                </pic:pic>
              </a:graphicData>
            </a:graphic>
          </wp:inline>
        </w:drawing>
      </w:r>
    </w:p>
    <w:p w14:paraId="67F67AA0" w14:textId="00F5E3A8" w:rsidR="009A49C7" w:rsidRDefault="00613605" w:rsidP="00613605">
      <w:pPr>
        <w:pStyle w:val="Caption"/>
        <w:rPr>
          <w:lang w:val="en-US"/>
        </w:rPr>
      </w:pPr>
      <w:bookmarkStart w:id="49" w:name="_Ref204004283"/>
      <w:bookmarkStart w:id="50" w:name="_Toc204637064"/>
      <w:proofErr w:type="spellStart"/>
      <w:r>
        <w:t>Figure</w:t>
      </w:r>
      <w:proofErr w:type="spellEnd"/>
      <w:r>
        <w:t xml:space="preserve"> </w:t>
      </w:r>
      <w:fldSimple w:instr=" SEQ Figure \* ARABIC ">
        <w:r w:rsidR="007F7DB3">
          <w:rPr>
            <w:noProof/>
          </w:rPr>
          <w:t>11</w:t>
        </w:r>
      </w:fldSimple>
      <w:bookmarkEnd w:id="49"/>
      <w:r>
        <w:t xml:space="preserve"> - </w:t>
      </w:r>
      <w:r w:rsidRPr="00711654">
        <w:t xml:space="preserve">Forest </w:t>
      </w:r>
      <w:proofErr w:type="spellStart"/>
      <w:r w:rsidRPr="00711654">
        <w:t>plot</w:t>
      </w:r>
      <w:proofErr w:type="spellEnd"/>
      <w:r w:rsidRPr="00711654">
        <w:t xml:space="preserve"> of </w:t>
      </w:r>
      <w:proofErr w:type="spellStart"/>
      <w:r w:rsidRPr="00711654">
        <w:t>mean</w:t>
      </w:r>
      <w:proofErr w:type="spellEnd"/>
      <w:r w:rsidRPr="00711654">
        <w:t xml:space="preserve"> </w:t>
      </w:r>
      <w:proofErr w:type="spellStart"/>
      <w:r w:rsidRPr="00711654">
        <w:t>differences</w:t>
      </w:r>
      <w:proofErr w:type="spellEnd"/>
      <w:r w:rsidRPr="00711654">
        <w:t xml:space="preserve"> of </w:t>
      </w:r>
      <w:proofErr w:type="spellStart"/>
      <w:r>
        <w:t>duration</w:t>
      </w:r>
      <w:proofErr w:type="spellEnd"/>
      <w:r>
        <w:t xml:space="preserve"> of </w:t>
      </w:r>
      <w:proofErr w:type="spellStart"/>
      <w:r>
        <w:t>anesthesia</w:t>
      </w:r>
      <w:proofErr w:type="spellEnd"/>
      <w:r>
        <w:t xml:space="preserve"> (</w:t>
      </w:r>
      <w:proofErr w:type="spellStart"/>
      <w:r>
        <w:t>mins</w:t>
      </w:r>
      <w:proofErr w:type="spellEnd"/>
      <w:r w:rsidRPr="00711654">
        <w:t xml:space="preserve">) </w:t>
      </w:r>
      <w:proofErr w:type="spellStart"/>
      <w:r w:rsidRPr="00711654">
        <w:t>between</w:t>
      </w:r>
      <w:proofErr w:type="spellEnd"/>
      <w:r w:rsidRPr="00711654">
        <w:t xml:space="preserve"> </w:t>
      </w:r>
      <w:proofErr w:type="spellStart"/>
      <w:r w:rsidRPr="00711654">
        <w:t>groups</w:t>
      </w:r>
      <w:proofErr w:type="spellEnd"/>
      <w:r>
        <w:t>.</w:t>
      </w:r>
      <w:bookmarkEnd w:id="50"/>
    </w:p>
    <w:p w14:paraId="420CF3ED" w14:textId="77777777" w:rsidR="00613605" w:rsidRDefault="00E002E0" w:rsidP="00613605">
      <w:pPr>
        <w:keepNext/>
      </w:pPr>
      <w:r>
        <w:rPr>
          <w:noProof/>
        </w:rPr>
        <w:lastRenderedPageBreak/>
        <w:drawing>
          <wp:inline distT="0" distB="0" distL="0" distR="0" wp14:anchorId="55126033" wp14:editId="18BB4E85">
            <wp:extent cx="5400040" cy="7196455"/>
            <wp:effectExtent l="19050" t="19050" r="10160" b="23495"/>
            <wp:docPr id="1850988372" name="Picture 4"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88372" name="Picture 4" descr="A screenshot of a document&#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7196455"/>
                    </a:xfrm>
                    <a:prstGeom prst="rect">
                      <a:avLst/>
                    </a:prstGeom>
                    <a:noFill/>
                    <a:ln>
                      <a:solidFill>
                        <a:schemeClr val="tx1"/>
                      </a:solidFill>
                    </a:ln>
                  </pic:spPr>
                </pic:pic>
              </a:graphicData>
            </a:graphic>
          </wp:inline>
        </w:drawing>
      </w:r>
    </w:p>
    <w:p w14:paraId="545722A7" w14:textId="08C836F5" w:rsidR="00E924DC" w:rsidRPr="00483D15" w:rsidRDefault="00613605" w:rsidP="00613605">
      <w:pPr>
        <w:pStyle w:val="Caption"/>
        <w:rPr>
          <w:lang w:val="en-US"/>
        </w:rPr>
      </w:pPr>
      <w:bookmarkStart w:id="51" w:name="_Ref204004287"/>
      <w:bookmarkStart w:id="52" w:name="_Toc204637065"/>
      <w:proofErr w:type="spellStart"/>
      <w:r>
        <w:t>Figure</w:t>
      </w:r>
      <w:proofErr w:type="spellEnd"/>
      <w:r>
        <w:t xml:space="preserve"> </w:t>
      </w:r>
      <w:fldSimple w:instr=" SEQ Figure \* ARABIC ">
        <w:r w:rsidR="007F7DB3">
          <w:rPr>
            <w:noProof/>
          </w:rPr>
          <w:t>12</w:t>
        </w:r>
      </w:fldSimple>
      <w:bookmarkEnd w:id="51"/>
      <w:r>
        <w:t xml:space="preserve"> - </w:t>
      </w:r>
      <w:r w:rsidRPr="00572305">
        <w:t xml:space="preserve">Forest </w:t>
      </w:r>
      <w:proofErr w:type="spellStart"/>
      <w:r w:rsidRPr="00572305">
        <w:t>plot</w:t>
      </w:r>
      <w:proofErr w:type="spellEnd"/>
      <w:r w:rsidRPr="00572305">
        <w:t xml:space="preserve"> of </w:t>
      </w:r>
      <w:proofErr w:type="spellStart"/>
      <w:r w:rsidRPr="00572305">
        <w:t>mean</w:t>
      </w:r>
      <w:proofErr w:type="spellEnd"/>
      <w:r w:rsidRPr="00572305">
        <w:t xml:space="preserve"> </w:t>
      </w:r>
      <w:proofErr w:type="spellStart"/>
      <w:r w:rsidRPr="00572305">
        <w:t>differences</w:t>
      </w:r>
      <w:proofErr w:type="spellEnd"/>
      <w:r w:rsidRPr="00572305">
        <w:t xml:space="preserve"> of </w:t>
      </w:r>
      <w:proofErr w:type="spellStart"/>
      <w:r w:rsidRPr="00572305">
        <w:t>duration</w:t>
      </w:r>
      <w:proofErr w:type="spellEnd"/>
      <w:r w:rsidRPr="00572305">
        <w:t xml:space="preserve"> of </w:t>
      </w:r>
      <w:proofErr w:type="spellStart"/>
      <w:r>
        <w:t>surgery</w:t>
      </w:r>
      <w:proofErr w:type="spellEnd"/>
      <w:r w:rsidRPr="00572305">
        <w:t xml:space="preserve"> (</w:t>
      </w:r>
      <w:proofErr w:type="spellStart"/>
      <w:r w:rsidRPr="00572305">
        <w:t>mins</w:t>
      </w:r>
      <w:proofErr w:type="spellEnd"/>
      <w:r w:rsidRPr="00572305">
        <w:t xml:space="preserve">) </w:t>
      </w:r>
      <w:proofErr w:type="spellStart"/>
      <w:r w:rsidRPr="00572305">
        <w:t>between</w:t>
      </w:r>
      <w:proofErr w:type="spellEnd"/>
      <w:r w:rsidRPr="00572305">
        <w:t xml:space="preserve"> </w:t>
      </w:r>
      <w:proofErr w:type="spellStart"/>
      <w:r w:rsidRPr="00572305">
        <w:t>groups</w:t>
      </w:r>
      <w:bookmarkEnd w:id="52"/>
      <w:proofErr w:type="spellEnd"/>
    </w:p>
    <w:p w14:paraId="7E7ECB92" w14:textId="57E39113" w:rsidR="00650CBF" w:rsidRPr="00483D15" w:rsidRDefault="00650CBF" w:rsidP="0036711F">
      <w:pPr>
        <w:pStyle w:val="Heading4"/>
        <w:rPr>
          <w:lang w:val="en-US"/>
        </w:rPr>
      </w:pPr>
      <w:r w:rsidRPr="00483D15">
        <w:rPr>
          <w:lang w:val="en-US"/>
        </w:rPr>
        <w:t>8.1.4.6. Length of Hospital Stay, Length of ICU Stay, and Mortality</w:t>
      </w:r>
    </w:p>
    <w:p w14:paraId="5B7A4920" w14:textId="11C9BD33" w:rsidR="008A4382" w:rsidRDefault="00826BDE" w:rsidP="0036711F">
      <w:pPr>
        <w:rPr>
          <w:lang w:val="en-US"/>
        </w:rPr>
      </w:pPr>
      <w:r w:rsidRPr="00483D15">
        <w:rPr>
          <w:lang w:val="en-US"/>
        </w:rPr>
        <w:t xml:space="preserve">Our data on </w:t>
      </w:r>
      <w:r w:rsidR="008A4382" w:rsidRPr="00483D15">
        <w:rPr>
          <w:lang w:val="en-US"/>
        </w:rPr>
        <w:t xml:space="preserve">the length of hospital stay </w:t>
      </w:r>
      <w:r w:rsidRPr="00483D15">
        <w:rPr>
          <w:lang w:val="en-US"/>
        </w:rPr>
        <w:t>(14 studies</w:t>
      </w:r>
      <w:r w:rsidR="006C60FD" w:rsidRPr="00483D15">
        <w:rPr>
          <w:lang w:val="en-US"/>
        </w:rPr>
        <w:t xml:space="preserve">, </w:t>
      </w:r>
      <w:r w:rsidRPr="00483D15">
        <w:rPr>
          <w:lang w:val="en-US"/>
        </w:rPr>
        <w:t>1,699 patients)</w:t>
      </w:r>
      <w:r w:rsidR="001F3E9D">
        <w:rPr>
          <w:lang w:val="en-US"/>
        </w:rPr>
        <w:t xml:space="preserve"> </w:t>
      </w:r>
      <w:r w:rsidR="00314FCD" w:rsidRPr="00483D15">
        <w:rPr>
          <w:lang w:val="en-US"/>
        </w:rPr>
        <w:fldChar w:fldCharType="begin"/>
      </w:r>
      <w:r w:rsidR="003672C1">
        <w:rPr>
          <w:lang w:val="en-US"/>
        </w:rPr>
        <w:instrText xml:space="preserve"> ADDIN ZOTERO_ITEM CSL_CITATION {"citationID":"cy7q1HJb","properties":{"formattedCitation":"[1,3,6,13,15,46,52,55,57,59\\uc0\\u8211{}61,64,66]","plainCitation":"[1,3,6,13,15,46,52,55,57,59–61,64,66]","noteIndex":0},"citationItems":[{"id":147,"uris":["http://zotero.org/users/local/L5HAWlIW/items/A8UQPRVS"],"itemData":{"id":147,"type":"article-journal","abstract":"Editor’s PerspectiveWhat We Already Know about This TopicIn patients with adult respiratory distress syndrome, physiologic tidal volume and positive end-expiratory pressure (PEEP) are protectiveIn patients without lung diseases undergoing mechanical ventilation under general anesthesia, optimal PEEP","container-title":"Anesthesiology","DOI":"10.1097/aln.0000000000002435","issue":"6","note":"publisher: Lippincott Williams and Wilkins","page":"1070-1081","title":"Individual Positive End-expiratory Pressure Settings Optimize Intraoperative Mechanical Ventilation and Reduce Postoperative Atelectasis","volume":"129","author":[{"family":"Pereira","given":"Sérgio; Tucci","suffix":"Mauro R.; Morais, Caio C. A.; Simões, Claudia Marquez; Tonelotto, Bruno Francisco Freitas; Pompeo, Michel S.; Kay, Fernando Uliana; Pelosi, Paolo; Vieira, Joaquim Edson; Amato, Marcelo B. P."}],"issued":{"date-parts":[["2018"]]}}},{"id":187,"uris":["http://zotero.org/users/local/L5HAWlIW/items/8MR6RMK8"],"itemData":{"id":187,"type":"article-journal","abstract":"This study aimed to observe the effects of lung-protective ventilation (LPV) on oxygenation index (OI) and postoperative pulmonary complications (PPCs) after laparoscopic radical gastrectomy in middle-aged and elderly patients. A total of 120 patients who were scheduled to undergo laparoscopic radical gastrectomy with an expected time of &gt;3 h were randomly divided into conventional ventilation (CV group) with tidal volume (TV) of 10 mL/kg without positive end-expiratory pressure (PEEP), and lung-protective ventilation (PV group) with 7 mL/kg TV and personal level of PEEP with regular recruitment maneuver every 30 min. Measurements of OI, modified clinical pulmonary infection score (mCPIS), and PPCs were assessed during the perioperative period. Fifty-seven patients in the CV group and 58 in the PV group participated in the data analysis. Patients in the PV group showed better pulmonary dynamic compliance, OI, and peripheral capillary oxygen saturation during and after surgery. The mCPIS was significantly lower in the PV group than in the CV group after surgery. The incidence rate of PPCs was lower in the PV group than in the CV group and the difference was significant in patients whose ventilation time was longer than 6 h in both groups. LPV during laparoscopic radical gastrectomy significantly improved pulmonary oxygenation function and reduced postoperative mCPIS and the incidence of PPCs during the early period after surgery of middle-aged and elderly patients, especially patients whose mechanical ventilation time was longer than 6 h.","container-title":"Brazilian journal of medical and biological research = Revista brasileira de pesquisas medicas e biologicas","DOI":"10.1590/1414-431x20198523","issue":"6","note":"publisher: Associacao Brasileira de Divulgacao Cientifica","page":"e8523-NA","title":"Effect of intraoperative lung-protective mechanical ventilation on pulmonary oxygenation function and postoperative pulmonary complications after laparoscopic radical gastrectomy.","volume":"52","author":[{"family":"Liu","given":"Jing; Meng","suffix":"Zhipeng; Lv, Ran; Zhang, Yaping; Wang, Gaojian; Xie, Junran"}],"issued":{"date-parts":[["2019"]]}}},{"id":167,"uris":["http://zotero.org/users/local/L5HAWlIW/items/53VQRNW3"],"itemData":{"id":167,"type":"article-journal","abstract":"Applying lung protective mechanical ventilation (LPV) during general anaesthesia even in patients with non-injured lungs is recommended. However, the effects of an individual PEEP-optimisation on respiratory mechanics, oxygenation and their potential correlation with the inflammatory response and postoperative complications have not been evaluated have not been compared to standard LPV in patients undergoing major abdominal surgery. Thirty-nine patients undergoing open radical cystectomy were enrolled in this study. In the study group (SG) optimal PEEP was determined by a decremental titration procedure and defined as the PEEP value resulting the highest static pulmonary compliance. In the control group (CG) PEEP was set to 6 cmH2O. Primary endpoints were intraoperative respiratory mechanics and gas exchange parameters. Secondary outcomes were perioperative procalcitonin kinetics and postoperative pulmonary complications. Optimal PEEP levels (median = 10, range: 8–14 cmH2O), PaO2/FiO2 (451.24 ± 121.78 mmHg vs. 404.15 ± 115.87 mmHg, P = 0.005) and static pulmonary compliance (52.54 ± 13.59 ml cmH2O-1 vs. 45.22 ± 9.13 ml cmH2O-1, P &lt; 0.0001) were significantly higher, while driving pressure (8.26 ± 1.74 cmH2O vs. 9.73 ± 4.02 cmH2O, P &lt; 0.0001) was significantly lower in the SG as compared to the CG. No significant intergroup differences were found in procalcitonin kinetics (P = 0.076). Composite outcome results indicated a non-significant reduction of postoperative complications in the SG. Intraoperative PEEP-optimization resulted in significant improvement in gas exchange and pulmonary mechanics as compared to standard LPV. Whether these have any effect on short and long term outcomes require further investigations. Trial registration: Clinicaltrials.gov, identifier: NCT02931409.","container-title":"Journal of clinical monitoring and computing","DOI":"10.1007/s10877-020-00519-6","issue":"3","note":"publisher: Springer Netherlands","page":"469-482","title":"Effects of intraoperative positive end-expiratory pressure optimization on respiratory mechanics and the inflammatory response: a randomized controlled trial","volume":"35","author":[{"family":"Ruszkai","given":"Zoltán; Kiss","suffix":"Erika; László, Ildikó; Bokrétás, Gergely Péter; Vizserálek, Dóra; Vámossy, Ildikó; Surány, Erika; Buzogány, István; Bajory, Zoltán; Molnár, Zsolt"}],"issued":{"date-parts":[["2020"]]}}},{"id":178,"uris":["http://zotero.org/users/local/L5HAWlIW/items/BNXF362C"],"itemData":{"id":178,"type":"article-journal","abstract":"NA","container-title":"The Lancet. Respiratory medicine","DOI":"10.1016/s2213-2600(18)30024-9","issue":"3","note":"publisher: Elsevier Limited","page":"193-203","title":"Individualised perioperative open-lung approach versus standard protective ventilation in abdominal surgery (iPROVE): a randomised controlled trial.","volume":"6","author":[{"family":"Ferrando","given":"Carlos; Soro","suffix":"Marina; Unzueta, Carmen; Suarez-Sipmann, Fernando; Canet, Jaume; Librero, Julián; Pozo, Natividad; Peiró, Salvador; Llombart, Alicia; León, Irene; India, Inmaculada; Aldecoa, Cesar; Diaz-Cambronero, Oscar; Pestaña, David; Redondo, Francisco J; Garutti, Ignacio; Balust, Jaume; García, Jose Ignacio; Ibáñez, Maite; Granell, M.; Rodríguez, Aurelio; Gallego, Lucía; de la Matta, Manuel; González, Rafael; Brunelli, Andrea; García, Javier Contreras; Rovira, Lucas; Barrios, Francisco; Torres, Vicente; Hernández, Samuel; Gracia, Estefania; Giné, Marta; Garcia, Maria; Garcia, Nuria; Miguel, Lisset; Sánchez, Sergio; Piñeiro, Patricia; Pujol, Roger; García-del-Valle, Santiago; Valdivia, José; Hernández, María; Padrón, Oto; Colás, Ana; Puig, Jaume; Azparren, Gonzalo; Tusman, Gerardo; Villar, Jesús; Belda, Javier; Acosta, Jesús; Aguilar, Gerardo; Alberola, María José; Alcón, Amalia; Alonso, Jose M.; Alonso, María Dolores; Anaya, Rafael; Argente, María Pilar; Agilaga, Marta; Arocas, Blanca; Asensio, Ana; Ayas, Begoña; Ayuso, Mercedes; Balandrón, Victor; Del Barrio, Maria; Bejarano, Natalia; Benítez, Inmaculada; Cabrera, Sergio; Carbonell, José A.; Carramiñana, Albert; Carrizo, Juan; Cegarra, Virginia; Chamorro, Estefanía; Charco, Pedro; Cruz, Patricia; Daviu, Francisco; De Fez, Mario; de Miguel, Angeles; Del Río, Elena; Delgado, Carlos; Díaz, Ruben; Díaz, Susana; Díez, Fernando; Dosdá, Rosa; Duca, Alejandro; Etulain, Ma Justina; Fernández, Carmen; Franco, Tania; Fuentes, Isabel; Gallego, Clara; Gallego-Casilda, Alberto; Galve, Ana Isabel; Garcés, Cristina; García, Mercedes; Garcia, Pablo; Garrigues, Beatriz; Gilabert, Vicente; González, Domingo; Gutierrez, Andrea; Hernández, Inmaculada; Izquierdo, Ana; Jurado, Ana; Katime, Antonio; Llamazares, Eduardo; Lardies, Rosa; Lisbona, Cristina; López-Herrera, Daniel; López, Ramiro; Lozano, Angels; Lozano, Elena; Marcos, José M.; Martín, Silvia; Martínez, Nilda; Martínez, Rocío; Martínez-Pallí, Graciella; Mazzinari, Guido; Miñana, Amanda; Moral, Victoria; Moreno, Tania; Mugarra, Ana; Muñoz, Lorena; Navarro, José I.; Olmedilla, Luis; Olmedo, Jonathan; Ojeda, Nazario; Parera, Ana; Parra, María Asunción; Parrilla, Cristina; Pastor, Ernesto; Peña, Natalia; Pérez, Ana María; Pérez, Jose María; Piqueras, Laura; Rico-Feijoo, Jesús; Rodríguez, Rayco; Román, Javier Ignacio; Romero, Antonio; Romero, Carolina; Romero, Esther; Ruiz, Isabel; Sánchez, Ester; Sandín, Francisco; Serralta, Ferran; Socorro, Tania; Soriano, Laura; Tisner, Manuel; Valencia, Lucía; Valls, Paola; Vaquero, Laura; Varón, Viviana; Vila, María; Villazala, Rubén; Villena, Abigail; Zapatero, Sara"}],"issued":{"date-parts":[["2018"]]}}},{"id":143,"uris":["http://zotero.org/users/local/L5HAWlIW/items/DLC97TPW"],"itemData":{"id":143,"type":"article-journal","abstract":"For patients undergoing robot-assisted radical prostatectomy, the pneumoperitoneum with a steep Trendelenburg position could worsen intraoperative respiratory mechanics and result in postoperative atelectasis. We investigated the effects of individualized positive end-expiratory pressure (PEEP) on postoperative atelectasis, evaluated using lung ultrasonography. Sixty patients undergoing robot-assisted radical prostatectomy were randomly allocated into two groups. Individualized groups (n = 30) received individualized PEEP determined by a decremental PEEP trial using 20 to 7 cm H2O, aiming at maximizing respiratory compliance, whereas standardized groups (n = 30) received a standardized PEEP of 7 cm H2O during the pneumoperitoneum. Ultrasound examination was performed on 12 sections of thorax, and the lung ultrasound score was measured as 0-3 by considering the number of B lines and the degree of subpleural consolidation. The primary outcome was the difference between the lung ultrasound scores measured before anesthesia induction and just after extubation in the operating room. An increase in the difference means the development of atelectasis. The optimal PEEP in the individualized group was determined as the median (interquartile range) 14 (12-18) cm H2O. Compared with the standardized group, the difference in the lung ultrasound scores was significantly smaller in the individualized group (-0.5 ± 2.7 vs. 6.0 ± 2.9, mean difference -6.53, 95% confidence interval (-8.00 to -5.07), p &lt; 0.001), which means that individualized PEEP was effective to reduce atelectasis. The lung ultrasound score measured after surgery was significantly lower in the individualized group than the standardized group (8.1 ± 5.7 vs. 12.2 ± 4.2, mean difference -4.13, 95% confidence interval (-6.74 to -1.53), p = 0.002). However, the arterial partial pressure of the oxygen/fraction of inspired oxygen levels during the surgery showed no significant time-group interaction between the two groups in repeated-measures analysis of variance (p = 0.145). The incidence of a composite of postoperative respiratory complications was comparable between the two groups. Individualized PEEP determined by maximal respiratory compliance during the pneumoperitoneum and steep Trendelenburg position significantly reduced postoperative atelectasis, as evaluated using lung ultrasonography. However, the clinical significance of this finding should be evaluated by a larger clinical trial.","container-title":"Journal of clinical medicine","DOI":"10.3390/jcm10040850","issue":"4","note":"publisher: Multidisciplinary Digital Publishing Institute (MDPI)","page":"850-NA","title":"The Effect of Ventilation with Individualized Positive End-Expiratory Pressure on Postoperative Atelectasis in Patients Undergoing Robot-Assisted Radical Prostatectomy: A Randomized Controlled Trial.","volume":"10","author":[{"family":"Yoon","given":"Hyun Kyu; Kim","suffix":"Bo Rim; Yoon, Susie; Jeong, Young Hyun; Ku, Ja Hyeon; Kim, Won Ho"}],"issued":{"date-parts":[["2021"]]}}},{"id":149,"uris":["http://zotero.org/users/local/L5HAWlIW/items/HSM2JN5A"],"itemData":{"id":149,"type":"article-journal","abstract":"Abstract Background Higher intraoperative driving pressures (ΔP) are associated with increased postoperative pulmonary complications (PPC). We hypothesised that dynamic adjustment of PEEP throughout abdominal surgery reduces ΔP, maintains positive end-expiratory transpulmonary pressures (Ptp_ee) and increases respiratory system static compliance (Crs) with PEEP levels that are variable between and within patients. Methods In a prospective multicentre pilot study, adults at moderate/high risk for PPC undergoing elective abdominal surgery were randomised to one of three ventilation protocols: (1) PEEP≤2 cm H2O, compared with periodic recruitment manoeuvres followed by individualised PEEP to either optimise respiratory system compliance (PEEPmaxCrs) or maintain positive end-expiratory transpulmonary pressure (PEEPPtp_ee). The composite primary outcome included intraoperative ΔP, Ptp_ee, Crs, and PEEP values (median (interquartile range) and coefficients of variation [CVPEEP]). Results Thirty-seven patients (48.6% female; age range: 47–73 yr) were assigned to control (PEEP≤2 cm H2O; n=13), PEEPmaxCrs (n=16), or PEEPPtp_ee (n=8) groups. The PEEPPtp_ee intervention could not be delivered in two patients. Subjects assigned to PEEPmaxCrs had lower ΔP (median8 cm H2O [7–10]), compared with the control group (12 cm H2O [10–15]; P=0.006). PEEPmaxCrs was also associated with higher Ptp_ee (2.0 cm H2O [-0.7 to 4.5] vs controls: -8.3 cm H2O [-13.0 to -4.0]; P≤0.001) and higher Crs (47.7 ml cm H2O [43.2–68.8] vs controls: 39.0 ml cm H2O [32.9–43.4]; P=0.009). Individualised PEEP (PEEPmaxCrs and PEEPPtp_ee combined) varied widely (median: 10 cm H2O [8-15]; CVPEEP=0.24 [0.14–0.35]), both between, and within, subjects throughout surgery. Conclusions This pilot study suggests that individualised PEEP management strategies applied during abdominal surgery reduce driving pressure, maintain positive Ptp_ee and increase static compliance. The wide range of PEEP observed suggests that an individualised approach is required to optimise respiratory mechanics during abdominal surgery. Clinical trial registration NCT02671721.","container-title":"British journal of anaesthesia","DOI":"10.1016/j.bja.2020.06.030","issue":"3","note":"publisher: Oxford University Press","page":"383-392","title":"Individualized PEEP to optimise respiratory mechanics during abdominal surgery: a pilot randomised controlled trial","volume":"125","author":[{"family":"Fernandez-Bustamante","given":"Ana; Sprung","suffix":"Juraj; Parker, Robert A.; Bartels, Karsten; Weingarten, Toby N.; Kosour, Carolina; Thompson, B. Taylor; Melo, Marcos F. Vidal"}],"issued":{"date-parts":[["2020"]]}}},{"id":1570,"uris":["http://zotero.org/users/local/L5HAWlIW/items/V3SBX9HI"],"itemData":{"id":1570,"type":"article-journal","container-title":"British Journal of Anaesthesia","DOI":"10.1016/j.bja.2023.08.007","ISSN":"00070912","issue":"5","journalAbbreviation":"British Journal of Anaesthesia","language":"en","page":"955-965","source":"DOI.org (Crossref)","title":"Effect of driving pressure-guided positive end-expiratory pressure on postoperative pulmonary complications in patients undergoing laparoscopic or robotic surgery: a randomised controlled trial","title-short":"Effect of driving pressure-guided positive end-expiratory pressure on postoperative pulmonary complications in patients undergoing laparoscopic or robotic surgery","volume":"131","author":[{"family":"Kim","given":"Yoon Jung"},{"family":"Kim","given":"Bo Rim"},{"family":"Kim","given":"Hee Won"},{"family":"Jung","given":"Ji-Yoon"},{"family":"Cho","given":"Hye-Yeon"},{"family":"Seo","given":"Jeoung-Hwa"},{"family":"Kim","given":"Won Ho"},{"family":"Kim","given":"Hee-Soo"},{"family":"Hwangbo","given":"Suhyun"},{"family":"Yoon","given":"Hyun-Kyu"}],"issued":{"date-parts":[["2023",11]]}}},{"id":1612,"uris":["http://zotero.org/users/local/L5HAWlIW/items/5LCJJ8P3"],"itemData":{"id":1612,"type":"article-journal","abstract":"Laparoscopic total hysterectomy is performed by carbon dioxide insufflation, Trendelenburg position and mechanical ventilation of patients under general anesthesia. However, this may induce pulmonary atelectasis and/or hyperdistention of the lungs. Multiple studies have indicated that mechanical ventilation with the use of low tidal volumes, moderate positive end‐expiratory pressure (PEEP) and regular alveolar recruitment maneuvers may improve post‐operative outcomes. However, the benefits of an individualized level of PEEP have not been clearly established. In the present study, it was hypothesized that a moderate fixed PEEP may not suit all patients and an individually‐titrated PEEP during anesthesia may improve the peri‐operative pulmonary oxygenation function. The aim of the present study was to compare the pulmonary oxygenation function and post‐operative pulmonary complications (PPCs) in patients receiving individualized lung‐protective mechanical ventilation (LPV) vs. conventional ventilation (CV) during laparoscopic total hysterectomy. The present study was a randomized double‐blinded clinical trial on 87 patients who were randomly divided to receive CV or protective ventilation (PV). An optimal individualized PEEP value was determined using a static pulmonary compliance‐directed PEEP titration procedure. Pulmonary oxygenation function, serum inflammatory factors, including interleukin‐8 and Clara cell protein 16, the incidence of PPCs and the post‐operative length of stay were also determined. Patients in the PV group exhibited improved pulmonary oxygenation function during and after the operation. The total percentage of PPCs during the first 7 days after surgery was significantly lower in the PV group compared with those in the CV group. In conclusion, as compared to CV, intra‐operative individualized LPV significantly improved pulmonary oxygenation function and reduced the incidence of PPCs during the first 7 days after laparoscopic total hysterectomy (Clinical trial registration no. ChiCTR1900027738).","archive_location":"CN-02099494","container-title":"Experimental and therapeutic medicine","DOI":"10.3892/etm.2020.8549","issue":"4","journalAbbreviation":"Experimental and therapeutic medicine","page":"3051‐3059","title":"Individualized lung protective ventilation vs. Conventional ventilation during general anesthesia in laparoscopic total hysterectomy","volume":"19","author":[{"family":"Liu","given":"J"},{"family":"Huang","given":"X"},{"family":"Hu","given":"S"},{"family":"Meng","given":"Z"},{"family":"He","given":"H"}],"issued":{"date-parts":[["2020"]]}}},{"id":22,"uris":["http://zotero.org/users/local/L5HAWlIW/items/J95XU98Y"],"itemData":{"id":22,"type":"article-journal","container-title":"Surgery","DOI":"10.1016/j.surg.2021.01.047","ISSN":"00396060","issue":"1","journalAbbreviation":"Surgery","language":"en","note":"number: 1","page":"277-283","source":"DOI.org (Crossref)","title":"Effect of driving pressure-guided positive end-expiratory pressure (PEEP) titration on postoperative lung atelectasis in adult patients undergoing elective major abdominal surgery: A randomized controlled trial","title-short":"Effect of driving pressure-guided positive end-expiratory pressure (PEEP) titration on postoperative lung atelectasis in adult patients undergoing elective major abdominal surgery","volume":"170","author":[{"family":"Mini","given":"Gouri"},{"family":"Ray","given":"Bikash R."},{"family":"Anand","given":"Rahul K."},{"family":"Muthiah","given":"Thilaka"},{"family":"Baidya","given":"Dalim K."},{"family":"Rewari","given":"Vimi"},{"family":"Sahni","given":"Peush"},{"family":"Maitra","given":"Souvik"}],"issued":{"date-parts":[["2021",7]]}}},{"id":168,"uris":["http://zotero.org/users/local/L5HAWlIW/items/67NQ5YJS"],"itemData":{"id":168,"type":"article-journal","abstract":"BACKGROUND The creation of pneumoperitoneum during laparoscopic surgery can lead to adverse effects on the respiratory system. Positive end-expiratory pressure (PEEP) plays an important role in mechanical ventilation during laparoscopic surgery. OBJECTIVE To evaluate whether PEEP setting guided by oesophageal pressure (Poeso) measurement would affect oxygenation and respiratory mechanics during laparoscopic gynaecological surgery. DESIGN A randomised controlled study. SETTING A single-centre trial from March 2018 to June 2018. PATIENTS Forty-four adult patients undergoing laparoscopic gynaecological surgery with anticipated duration of surgery more than 2 h. INTERVENTION PEEP set according to Poeso measurement (intervention group) versus PEEP constantly set at 5 cmH2O (control group). MAIN OUTCOME MEASURES Gas exchange and respiratory mechanics after induction and intubation (T0) and at 15 and 60 min after initiation of pneumoperitoneum (T1 and T2, respectively). RESULTS PEEP during pneumoperitoneum was significantly higher in the intervention group than in the control group (T1, 12.5 ± 1.9 vs. 5.0 ± 0.0 cmH2O and T2, 12.4 ± 1.9 vs. 5.0 ± 0.0 cmH2O, both P &lt; 0.001). Partial pressures of oxygen decreased significantly from baseline during pneumoperitoneum in the control group but not in the intervention group. Nevertheless, the changes in partial pressures of oxygen did not differ between groups. Compliance of the respiratory system (CRS) significantly decreased and driving pressure significantly increased during pneumoperitoneum in both groups. However, the changes in CRS and driving pressure were significantly less in the intervention group. Transpulmonary pressure during expiration was maintained in the intervention group while it decreased significantly in the control group. CONCLUSION PEEP setting guided by Poeso measurement showed no beneficial effects in terms of oxygenation but respiratory mechanics were better during laparoscopic gynaecological surgery. TRIAL REGISTRATION ClinicalTrials.gov identifier: NCT03256396.","container-title":"European journal of anaesthesiology","DOI":"10.1097/eja.0000000000001204","issue":"11","note":"publisher: Wolters Kluwer Health","page":"1032-1039","title":"Effects of intra-operative positive end-expiratory pressure setting guided by oesophageal pressure measurement on oxygenation and respiratory mechanics during laparoscopic gynaecological surgery: A randomised controlled trial.","volume":"37","author":[{"family":"Piriyapatsom","given":"Annop; Phetkampang","suffix":"Sanchai"}],"issued":{"date-parts":[["2020"]]}}},{"id":1566,"uris":["http://zotero.org/users/local/L5HAWlIW/items/5KHQPKBX"],"itemData":{"id":1566,"type":"article-journal","container-title":"Egyptian Journal of Anaesthesia","DOI":"10.1080/11101849.2023.2230050","ISSN":"1110-1849","issue":"1","journalAbbreviation":"Egyptian Journal of Anaesthesia","language":"en","page":"496-501","source":"DOI.org (Crossref)","title":"Effect of individualized intraoperative lung recruitment maneuver on postoperative pulmonary complications in patients undergoing upper abdominal surgeries under general anesthesia","volume":"39","author":[{"family":"Mohammad Salama","given":"Mohammad Elhossieny"},{"family":"El-Taher","given":"Ezzat Mohamed"},{"family":"Abdel-Rahman Al-Touny","given":"Ahmad Hamed"},{"family":"Ismail","given":"Reda Aboelmagd"},{"family":"Abdel-Ghaffar","given":"Mohamed Emad Eldin"}],"issued":{"date-parts":[["2023",12,31]]}}},{"id":28,"uris":["http://zotero.org/users/local/L5HAWlIW/items/BBD2PA7M"],"itemData":{"id":28,"type":"article-journal","container-title":"Obesity Surgery","DOI":"10.1007/s11695-018-03662-x","ISSN":"0960-8923, 1708-0428","issue":"4","journalAbbreviation":"OBES SURG","language":"en","note":"number: 4","page":"1268-1275","source":"DOI.org (Crossref)","title":"Does Lung Compliance Optimization Through PEEP Manipulations Reduce the Incidence of Postoperative Hypoxemia in Laparoscopic Bariatric Surgery? A Randomized Trial","title-short":"Does Lung Compliance Optimization Through PEEP Manipulations Reduce the Incidence of Postoperative Hypoxemia in Laparoscopic Bariatric Surgery?","volume":"29","author":[{"family":"Van Hecke","given":"Delphine"},{"family":"Bidgoli","given":"Javad S."},{"family":"Van der Linden","given":"Philippe"}],"issued":{"date-parts":[["2019",4]]}}},{"id":157,"uris":["http://zotero.org/users/local/L5HAWlIW/items/9I65CFBK"],"itemData":{"id":157,"type":"article-journal","abstract":"Background The optimal positive end-expiratory pressure (PEEP) to prevent postoperative pulmonary complications (PPCs) remains unclear. Recent evidence showed that driving pressure was closely related to PPCs. In this study, we tested the hypothesis that an individualized PEEP guided by minimum driving pressure during abdominal surgery would reduce the incidence of PPCs. Methods This single-centered, randomized controlled trial included a total of 148 patients scheduled for open upper abdominal surgery. Patients were randomly assigned to receive an individualized PEEP guided by minimum driving pressure or an empiric fixed PEEP of 6 cm H2O. The primary outcome was the incidence of clinically significant PPCs within the first 7 days after surgery, using a χ2 test. Secondary outcomes were the severity of PPCs, the area of atelectasis, and pleural effusion. Other outcomes, such as the incidence of different types of PPCs (including hypoxemia, atelectasis, pleural effusion, dyspnea, pneumonia, pneumothorax, and acute respiratory distress syndrome), intensive care unit (ICU) admission rate, length of hospital stay, and 30-day mortality were also explored. Results The median value of PEEP in the individualized group was 10 cm H2O. The incidence of clinically significant PPCs was significantly lower in the individualized PEEP group compared with that in the fixed PEEP group (26 of 67 [38.8%] vs 42 of 67 [62.7%], relative risk = 0.619, 95% confidence intervals, 0.435-0.881; P = .006). The overall severity of PPCs and the area of atelectasis were also significantly diminished in the individualized PEEP group. Higher respiratory compliance during surgery and improved intra- and postoperative oxygenation was observed in the individualized group. No significant differences were found in other outcomes between the 2 groups, such as ICU admission rate or 30-day mortality. Conclusions The application of individualized PEEP based on minimum driving pressure may effectively decrease the severity of atelectasis, improve oxygenation, and reduce the incidence of clinically significant PPCs after open upper abdominal surgery.","container-title":"Anesthesia and analgesia","DOI":"10.1213/ane.0000000000005575","issue":"5","note":"publisher: Lippincott Williams and Wilkins","page":"1197-1205","title":"Driving Pressure-Guided Individualized Positive End-Expiratory Pressure in Abdominal Surgery: A Randomized Controlled Trial.","volume":"133","author":[{"family":"Zhang","given":"Chengmi; Xu","suffix":"Fengying; Li, Weiwei; Tong, Xingyu; Xia, Ran; Wang, Wei; Du, Jianer; Shi, Xueyin"}],"issued":{"date-parts":[["2021"]]}}},{"id":1554,"uris":["http://zotero.org/users/local/L5HAWlIW/items/RGSHQSMS"],"itemData":{"id":1554,"type":"article-journal","abstract":"Abstract\n            \n              Background\n              This trial aimed to evaluate the effects of a protective ventilation strategy on oxygenation/pulmonary indexes in patients undergoing robot-assisted radical prostatectomy (RARP) in the steep Trendelenburg position.\n            \n            \n              Methods\n              \n                In phase 1, the most optimal positive end-expiratory pressure (PEEP) was determined in 25 patients at 11 cmH\n                2\n                O. In phase 2, 64 patients were randomized to the traditional ventilation group with tidal volume (VT) of 9 ml/kg of predicted body weight (PBW) and the protective ventilation group with VT of 7 ml/kg of PBW with optimal PEEP and recruitment maneuvers (RMs). The primary endpoint was the intraoperative and postoperative PaO\n                2\n                /FiO\n                2\n                . The secondary endpoints were the PaCO\n                2\n                , SpO\n                2\n                , modified clinical pulmonary infection score (mCPIS), and the rate of complications in the postoperative period.\n              \n            \n            \n              Results\n              \n                Compared with controls, PaO\n                2\n                /FiO\n                2\n                in the protective group increased after the second RM (\n                P\n                =0.018), and the difference remained until postoperative day 3 (\n                P\n                =0.043). PaCO\n                2\n                showed transient accumulation in the protective group after the first RM (T2), but this phenomenon disappeared with time. SpO\n                2\n                in the protective group was significantly higher during the first three postoperative days. Lung compliance was significantly improved after the second RM in the protective group (\n                P\n                =0.025). The mCPIS was lower in the protective group on postoperative day 3 (0.59 (1.09) vs. 1.46 (1.27),\n                P\n                =0.010).\n              \n            \n            \n              Conclusion\n              A protective ventilation strategy with lower VT combined with optimal PEEP and RMs could improve oxygenation and reduce mCPIS in patients undergoing RARP.\n            \n            \n              Trial registration\n              \n                ChiCTR\n                ChiCTR1800015626\n                . Registered on 12 April 2018.","container-title":"Trials","DOI":"10.1186/s13063-021-05310-9","ISSN":"1745-6215","issue":"1","journalAbbreviation":"Trials","language":"en","page":"351","source":"DOI.org (Crossref)","title":"Protective mechanical ventilation with optimal PEEP during RARP improves oxygenation and pulmonary indexes","volume":"22","author":[{"family":"Zhou","given":"Jianwei"},{"family":"Wang","given":"Chuanguang"},{"family":"Lv","given":"Ran"},{"family":"Liu","given":"Na"},{"family":"Huang","given":"Yan"},{"family":"Wang","given":"Wu"},{"family":"Yu","given":"Lina"},{"family":"Xie","given":"Junran"}],"issued":{"date-parts":[["2021",12]]}}}],"schema":"https://github.com/citation-style-language/schema/raw/master/csl-citation.json"} </w:instrText>
      </w:r>
      <w:r w:rsidR="00314FCD" w:rsidRPr="00483D15">
        <w:rPr>
          <w:lang w:val="en-US"/>
        </w:rPr>
        <w:fldChar w:fldCharType="separate"/>
      </w:r>
      <w:r w:rsidR="003672C1" w:rsidRPr="003672C1">
        <w:rPr>
          <w:rFonts w:cs="Times New Roman"/>
          <w:kern w:val="0"/>
        </w:rPr>
        <w:t>[1,3,6,13,15,46,52,55,57,59–61,64,66]</w:t>
      </w:r>
      <w:r w:rsidR="00314FCD" w:rsidRPr="00483D15">
        <w:rPr>
          <w:lang w:val="en-US"/>
        </w:rPr>
        <w:fldChar w:fldCharType="end"/>
      </w:r>
      <w:r w:rsidRPr="00483D15">
        <w:rPr>
          <w:lang w:val="en-US"/>
        </w:rPr>
        <w:t xml:space="preserve"> </w:t>
      </w:r>
      <w:r w:rsidR="008A4382" w:rsidRPr="00483D15">
        <w:rPr>
          <w:lang w:val="en-US"/>
        </w:rPr>
        <w:t>and the length of ICU stay</w:t>
      </w:r>
      <w:r w:rsidRPr="00483D15">
        <w:rPr>
          <w:lang w:val="en-US"/>
        </w:rPr>
        <w:t xml:space="preserve"> (4 studies, 626 patients)</w:t>
      </w:r>
      <w:r w:rsidR="001F3E9D">
        <w:rPr>
          <w:lang w:val="en-US"/>
        </w:rPr>
        <w:t xml:space="preserve"> </w:t>
      </w:r>
      <w:r w:rsidR="00C27687" w:rsidRPr="00483D15">
        <w:rPr>
          <w:lang w:val="en-US"/>
        </w:rPr>
        <w:lastRenderedPageBreak/>
        <w:fldChar w:fldCharType="begin"/>
      </w:r>
      <w:r w:rsidR="00915D94">
        <w:rPr>
          <w:lang w:val="en-US"/>
        </w:rPr>
        <w:instrText xml:space="preserve"> ADDIN ZOTERO_ITEM CSL_CITATION {"citationID":"C4mNCfbu","properties":{"formattedCitation":"[3,13,14,60,64]","plainCitation":"[3,13,14,60,64]","noteIndex":0},"citationItems":[{"id":187,"uris":["http://zotero.org/users/local/L5HAWlIW/items/8MR6RMK8"],"itemData":{"id":187,"type":"article-journal","abstract":"This study aimed to observe the effects of lung-protective ventilation (LPV) on oxygenation index (OI) and postoperative pulmonary complications (PPCs) after laparoscopic radical gastrectomy in middle-aged and elderly patients. A total of 120 patients who were scheduled to undergo laparoscopic radical gastrectomy with an expected time of &gt;3 h were randomly divided into conventional ventilation (CV group) with tidal volume (TV) of 10 mL/kg without positive end-expiratory pressure (PEEP), and lung-protective ventilation (PV group) with 7 mL/kg TV and personal level of PEEP with regular recruitment maneuver every 30 min. Measurements of OI, modified clinical pulmonary infection score (mCPIS), and PPCs were assessed during the perioperative period. Fifty-seven patients in the CV group and 58 in the PV group participated in the data analysis. Patients in the PV group showed better pulmonary dynamic compliance, OI, and peripheral capillary oxygen saturation during and after surgery. The mCPIS was significantly lower in the PV group than in the CV group after surgery. The incidence rate of PPCs was lower in the PV group than in the CV group and the difference was significant in patients whose ventilation time was longer than 6 h in both groups. LPV during laparoscopic radical gastrectomy significantly improved pulmonary oxygenation function and reduced postoperative mCPIS and the incidence of PPCs during the early period after surgery of middle-aged and elderly patients, especially patients whose mechanical ventilation time was longer than 6 h.","container-title":"Brazilian journal of medical and biological research = Revista brasileira de pesquisas medicas e biologicas","DOI":"10.1590/1414-431x20198523","issue":"6","note":"publisher: Associacao Brasileira de Divulgacao Cientifica","page":"e8523-NA","title":"Effect of intraoperative lung-protective mechanical ventilation on pulmonary oxygenation function and postoperative pulmonary complications after laparoscopic radical gastrectomy.","volume":"52","author":[{"family":"Liu","given":"Jing; Meng","suffix":"Zhipeng; Lv, Ran; Zhang, Yaping; Wang, Gaojian; Xie, Junran"}],"issued":{"date-parts":[["2019"]]}}},{"id":178,"uris":["http://zotero.org/users/local/L5HAWlIW/items/BNXF362C"],"itemData":{"id":178,"type":"article-journal","abstract":"NA","container-title":"The Lancet. Respiratory medicine","DOI":"10.1016/s2213-2600(18)30024-9","issue":"3","note":"publisher: Elsevier Limited","page":"193-203","title":"Individualised perioperative open-lung approach versus standard protective ventilation in abdominal surgery (iPROVE): a randomised controlled trial.","volume":"6","author":[{"family":"Ferrando","given":"Carlos; Soro","suffix":"Marina; Unzueta, Carmen; Suarez-Sipmann, Fernando; Canet, Jaume; Librero, Julián; Pozo, Natividad; Peiró, Salvador; Llombart, Alicia; León, Irene; India, Inmaculada; Aldecoa, Cesar; Diaz-Cambronero, Oscar; Pestaña, David; Redondo, Francisco J; Garutti, Ignacio; Balust, Jaume; García, Jose Ignacio; Ibáñez, Maite; Granell, M.; Rodríguez, Aurelio; Gallego, Lucía; de la Matta, Manuel; González, Rafael; Brunelli, Andrea; García, Javier Contreras; Rovira, Lucas; Barrios, Francisco; Torres, Vicente; Hernández, Samuel; Gracia, Estefania; Giné, Marta; Garcia, Maria; Garcia, Nuria; Miguel, Lisset; Sánchez, Sergio; Piñeiro, Patricia; Pujol, Roger; García-del-Valle, Santiago; Valdivia, José; Hernández, María; Padrón, Oto; Colás, Ana; Puig, Jaume; Azparren, Gonzalo; Tusman, Gerardo; Villar, Jesús; Belda, Javier; Acosta, Jesús; Aguilar, Gerardo; Alberola, María José; Alcón, Amalia; Alonso, Jose M.; Alonso, María Dolores; Anaya, Rafael; Argente, María Pilar; Agilaga, Marta; Arocas, Blanca; Asensio, Ana; Ayas, Begoña; Ayuso, Mercedes; Balandrón, Victor; Del Barrio, Maria; Bejarano, Natalia; Benítez, Inmaculada; Cabrera, Sergio; Carbonell, José A.; Carramiñana, Albert; Carrizo, Juan; Cegarra, Virginia; Chamorro, Estefanía; Charco, Pedro; Cruz, Patricia; Daviu, Francisco; De Fez, Mario; de Miguel, Angeles; Del Río, Elena; Delgado, Carlos; Díaz, Ruben; Díaz, Susana; Díez, Fernando; Dosdá, Rosa; Duca, Alejandro; Etulain, Ma Justina; Fernández, Carmen; Franco, Tania; Fuentes, Isabel; Gallego, Clara; Gallego-Casilda, Alberto; Galve, Ana Isabel; Garcés, Cristina; García, Mercedes; Garcia, Pablo; Garrigues, Beatriz; Gilabert, Vicente; González, Domingo; Gutierrez, Andrea; Hernández, Inmaculada; Izquierdo, Ana; Jurado, Ana; Katime, Antonio; Llamazares, Eduardo; Lardies, Rosa; Lisbona, Cristina; López-Herrera, Daniel; López, Ramiro; Lozano, Angels; Lozano, Elena; Marcos, José M.; Martín, Silvia; Martínez, Nilda; Martínez, Rocío; Martínez-Pallí, Graciella; Mazzinari, Guido; Miñana, Amanda; Moral, Victoria; Moreno, Tania; Mugarra, Ana; Muñoz, Lorena; Navarro, José I.; Olmedilla, Luis; Olmedo, Jonathan; Ojeda, Nazario; Parera, Ana; Parra, María Asunción; Parrilla, Cristina; Pastor, Ernesto; Peña, Natalia; Pérez, Ana María; Pérez, Jose María; Piqueras, Laura; Rico-Feijoo, Jesús; Rodríguez, Rayco; Román, Javier Ignacio; Romero, Antonio; Romero, Carolina; Romero, Esther; Ruiz, Isabel; Sánchez, Ester; Sandín, Francisco; Serralta, Ferran; Socorro, Tania; Soriano, Laura; Tisner, Manuel; Valencia, Lucía; Valls, Paola; Vaquero, Laura; Varón, Viviana; Vila, María; Villazala, Rubén; Villena, Abigail; Zapatero, Sara"}],"issued":{"date-parts":[["2018"]]}}},{"id":163,"uris":["http://zotero.org/users/local/L5HAWlIW/items/V9KG3S7Z"],"itemData":{"id":163,"type":"article-journal","abstract":"Abstract Background General anaesthesia leads to atelectasis, reduced end-expiratory lung volume (EELV), and diminished arterial oxygenation in obese patients. We hypothesized that a combination of a recruitment manoeuvre (RM) and individualized positive end-expiratory pressure (PEEP) can avoid these effects. Methods Patients with a BMI ≥35 kg m−2 undergoing elective laparoscopic surgery were randomly allocated to mechanical ventilation with a tidal volume of 8 ml kg−1 predicted body weight and (i) an RM followed by individualized PEEP titrated using electrical impedance tomography (PEEPIND) or (ii) no RM and PEEP of 5 cm H2O (PEEP5). Gas exchange, regional ventilation distribution, and EELV (multiple breath nitrogen washout method) were determined before, during, and after anaesthesia. The primary end point was the ratio of arterial partial pressure of oxygen to inspiratory oxygen fraction (PaO2/FiO2). Results For PEEPIND (n=25) and PEEP5 (n=25) arms together, PaO2/FiO2 and EELV decreased by 15 kPa [95% confidence interval (CI) 11–20 kPa, P Conclusions In obese patients, an RM and higher PEEPIND restored EELV, regional ventilation distribution, and oxygenation during anaesthesia, but these differences did not persist after extubation. Therefore, lung protection strategies should include the postoperative period. Clinical trial registration German clinical trials register DRKS00004199, www.who.int/ictrp/network/drks2/en/.","container-title":"British journal of anaesthesia","DOI":"10.1093/bja/aex192","issue":"6","note":"publisher: Oxford University Press","page":"1194-1205","title":"Individualized positive end-expiratory pressure in obese patients during general anaesthesia: a randomized controlled clinical trial using electrical impedance tomography","volume":"119","author":[{"family":"Nestler","given":"C.; Simon","suffix":"P.; Petroff, David; Hammermüller, Sören; Kamrath, D.; Wolf, Samuel J.; Dietrich, Arne; Camilo, Luciana Moisés; Beda, Alessandro; Carvalho, Alysson R.; Giannella-Neto, Antonio; Reske, Andreas W.; Wrigge, Hermann"}],"issued":{"date-parts":[["2017"]]}}},{"id":1566,"uris":["http://zotero.org/users/local/L5HAWlIW/items/5KHQPKBX"],"itemData":{"id":1566,"type":"article-journal","container-title":"Egyptian Journal of Anaesthesia","DOI":"10.1080/11101849.2023.2230050","ISSN":"1110-1849","issue":"1","journalAbbreviation":"Egyptian Journal of Anaesthesia","language":"en","page":"496-501","source":"DOI.org (Crossref)","title":"Effect of individualized intraoperative lung recruitment maneuver on postoperative pulmonary complications in patients undergoing upper abdominal surgeries under general anesthesia","volume":"39","author":[{"family":"Mohammad Salama","given":"Mohammad Elhossieny"},{"family":"El-Taher","given":"Ezzat Mohamed"},{"family":"Abdel-Rahman Al-Touny","given":"Ahmad Hamed"},{"family":"Ismail","given":"Reda Aboelmagd"},{"family":"Abdel-Ghaffar","given":"Mohamed Emad Eldin"}],"issued":{"date-parts":[["2023",12,31]]}}},{"id":157,"uris":["http://zotero.org/users/local/L5HAWlIW/items/9I65CFBK"],"itemData":{"id":157,"type":"article-journal","abstract":"Background The optimal positive end-expiratory pressure (PEEP) to prevent postoperative pulmonary complications (PPCs) remains unclear. Recent evidence showed that driving pressure was closely related to PPCs. In this study, we tested the hypothesis that an individualized PEEP guided by minimum driving pressure during abdominal surgery would reduce the incidence of PPCs. Methods This single-centered, randomized controlled trial included a total of 148 patients scheduled for open upper abdominal surgery. Patients were randomly assigned to receive an individualized PEEP guided by minimum driving pressure or an empiric fixed PEEP of 6 cm H2O. The primary outcome was the incidence of clinically significant PPCs within the first 7 days after surgery, using a χ2 test. Secondary outcomes were the severity of PPCs, the area of atelectasis, and pleural effusion. Other outcomes, such as the incidence of different types of PPCs (including hypoxemia, atelectasis, pleural effusion, dyspnea, pneumonia, pneumothorax, and acute respiratory distress syndrome), intensive care unit (ICU) admission rate, length of hospital stay, and 30-day mortality were also explored. Results The median value of PEEP in the individualized group was 10 cm H2O. The incidence of clinically significant PPCs was significantly lower in the individualized PEEP group compared with that in the fixed PEEP group (26 of 67 [38.8%] vs 42 of 67 [62.7%], relative risk = 0.619, 95% confidence intervals, 0.435-0.881; P = .006). The overall severity of PPCs and the area of atelectasis were also significantly diminished in the individualized PEEP group. Higher respiratory compliance during surgery and improved intra- and postoperative oxygenation was observed in the individualized group. No significant differences were found in other outcomes between the 2 groups, such as ICU admission rate or 30-day mortality. Conclusions The application of individualized PEEP based on minimum driving pressure may effectively decrease the severity of atelectasis, improve oxygenation, and reduce the incidence of clinically significant PPCs after open upper abdominal surgery.","container-title":"Anesthesia and analgesia","DOI":"10.1213/ane.0000000000005575","issue":"5","note":"publisher: Lippincott Williams and Wilkins","page":"1197-1205","title":"Driving Pressure-Guided Individualized Positive End-Expiratory Pressure in Abdominal Surgery: A Randomized Controlled Trial.","volume":"133","author":[{"family":"Zhang","given":"Chengmi; Xu","suffix":"Fengying; Li, Weiwei; Tong, Xingyu; Xia, Ran; Wang, Wei; Du, Jianer; Shi, Xueyin"}],"issued":{"date-parts":[["2021"]]}}}],"schema":"https://github.com/citation-style-language/schema/raw/master/csl-citation.json"} </w:instrText>
      </w:r>
      <w:r w:rsidR="00C27687" w:rsidRPr="00483D15">
        <w:rPr>
          <w:lang w:val="en-US"/>
        </w:rPr>
        <w:fldChar w:fldCharType="separate"/>
      </w:r>
      <w:r w:rsidR="00915D94" w:rsidRPr="00915D94">
        <w:rPr>
          <w:rFonts w:cs="Times New Roman"/>
        </w:rPr>
        <w:t>[3,13,14,60,64]</w:t>
      </w:r>
      <w:r w:rsidR="00C27687" w:rsidRPr="00483D15">
        <w:rPr>
          <w:lang w:val="en-US"/>
        </w:rPr>
        <w:fldChar w:fldCharType="end"/>
      </w:r>
      <w:r w:rsidR="008A4382" w:rsidRPr="00483D15">
        <w:rPr>
          <w:lang w:val="en-US"/>
        </w:rPr>
        <w:t xml:space="preserve">, </w:t>
      </w:r>
      <w:r w:rsidR="006C60FD" w:rsidRPr="00483D15">
        <w:rPr>
          <w:lang w:val="en-US"/>
        </w:rPr>
        <w:t xml:space="preserve">showed </w:t>
      </w:r>
      <w:r w:rsidR="008A4382" w:rsidRPr="00483D15">
        <w:rPr>
          <w:lang w:val="en-US"/>
        </w:rPr>
        <w:t>no significant differences between the study groups</w:t>
      </w:r>
      <w:r w:rsidR="0046796C">
        <w:rPr>
          <w:lang w:val="en-US"/>
        </w:rPr>
        <w:t xml:space="preserve"> (SGs)</w:t>
      </w:r>
      <w:r w:rsidR="008A4382" w:rsidRPr="00483D15">
        <w:rPr>
          <w:lang w:val="en-US"/>
        </w:rPr>
        <w:t xml:space="preserve"> (MD = −0.06 days, 95% CI: −0.71 to 0.59, I² = 71.0%, p = 0.855, and MD = −0.10 days, 95% CI: −2.70 to 2.51, I² = 77%, p = 0.914, respectively</w:t>
      </w:r>
      <w:r w:rsidR="00CC0EA9">
        <w:rPr>
          <w:lang w:val="en-US"/>
        </w:rPr>
        <w:t xml:space="preserve">, shown on </w:t>
      </w:r>
      <w:r w:rsidR="00CC0EA9">
        <w:rPr>
          <w:lang w:val="en-US"/>
        </w:rPr>
        <w:fldChar w:fldCharType="begin"/>
      </w:r>
      <w:r w:rsidR="00CC0EA9">
        <w:rPr>
          <w:lang w:val="en-US"/>
        </w:rPr>
        <w:instrText xml:space="preserve"> REF _Ref204004578 \h </w:instrText>
      </w:r>
      <w:r w:rsidR="00CC0EA9">
        <w:rPr>
          <w:lang w:val="en-US"/>
        </w:rPr>
      </w:r>
      <w:r w:rsidR="00CC0EA9">
        <w:rPr>
          <w:lang w:val="en-US"/>
        </w:rPr>
        <w:fldChar w:fldCharType="separate"/>
      </w:r>
      <w:proofErr w:type="spellStart"/>
      <w:r w:rsidR="007F7DB3">
        <w:t>Figure</w:t>
      </w:r>
      <w:proofErr w:type="spellEnd"/>
      <w:r w:rsidR="007F7DB3">
        <w:t xml:space="preserve"> </w:t>
      </w:r>
      <w:r w:rsidR="007F7DB3">
        <w:rPr>
          <w:noProof/>
        </w:rPr>
        <w:t>13</w:t>
      </w:r>
      <w:r w:rsidR="00CC0EA9">
        <w:rPr>
          <w:lang w:val="en-US"/>
        </w:rPr>
        <w:fldChar w:fldCharType="end"/>
      </w:r>
      <w:r w:rsidR="00CC0EA9">
        <w:rPr>
          <w:lang w:val="en-US"/>
        </w:rPr>
        <w:t xml:space="preserve">and </w:t>
      </w:r>
      <w:r w:rsidR="00CC0EA9">
        <w:rPr>
          <w:lang w:val="en-US"/>
        </w:rPr>
        <w:fldChar w:fldCharType="begin"/>
      </w:r>
      <w:r w:rsidR="00CC0EA9">
        <w:rPr>
          <w:lang w:val="en-US"/>
        </w:rPr>
        <w:instrText xml:space="preserve"> REF _Ref204004579 \h </w:instrText>
      </w:r>
      <w:r w:rsidR="00CC0EA9">
        <w:rPr>
          <w:lang w:val="en-US"/>
        </w:rPr>
      </w:r>
      <w:r w:rsidR="00CC0EA9">
        <w:rPr>
          <w:lang w:val="en-US"/>
        </w:rPr>
        <w:fldChar w:fldCharType="separate"/>
      </w:r>
      <w:proofErr w:type="spellStart"/>
      <w:r w:rsidR="007F7DB3">
        <w:t>Figure</w:t>
      </w:r>
      <w:proofErr w:type="spellEnd"/>
      <w:r w:rsidR="007F7DB3">
        <w:t xml:space="preserve"> </w:t>
      </w:r>
      <w:r w:rsidR="007F7DB3">
        <w:rPr>
          <w:noProof/>
        </w:rPr>
        <w:t>14</w:t>
      </w:r>
      <w:r w:rsidR="00CC0EA9">
        <w:rPr>
          <w:lang w:val="en-US"/>
        </w:rPr>
        <w:fldChar w:fldCharType="end"/>
      </w:r>
      <w:r w:rsidR="008A4382" w:rsidRPr="00483D15">
        <w:rPr>
          <w:lang w:val="en-US"/>
        </w:rPr>
        <w:t>).</w:t>
      </w:r>
    </w:p>
    <w:p w14:paraId="558343CC" w14:textId="77777777" w:rsidR="00CC0EA9" w:rsidRDefault="00910499" w:rsidP="00CC0EA9">
      <w:pPr>
        <w:keepNext/>
      </w:pPr>
      <w:r>
        <w:rPr>
          <w:noProof/>
        </w:rPr>
        <w:drawing>
          <wp:inline distT="0" distB="0" distL="0" distR="0" wp14:anchorId="48D30939" wp14:editId="1195F396">
            <wp:extent cx="5400040" cy="5756910"/>
            <wp:effectExtent l="19050" t="19050" r="10160" b="15240"/>
            <wp:docPr id="145507889" name="Picture 7"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7889" name="Picture 7" descr="A graph with numbers and lines&#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5756910"/>
                    </a:xfrm>
                    <a:prstGeom prst="rect">
                      <a:avLst/>
                    </a:prstGeom>
                    <a:noFill/>
                    <a:ln>
                      <a:solidFill>
                        <a:schemeClr val="tx1"/>
                      </a:solidFill>
                    </a:ln>
                  </pic:spPr>
                </pic:pic>
              </a:graphicData>
            </a:graphic>
          </wp:inline>
        </w:drawing>
      </w:r>
    </w:p>
    <w:p w14:paraId="2471EDAB" w14:textId="0947B6D9" w:rsidR="00910499" w:rsidRDefault="00CC0EA9" w:rsidP="00CC0EA9">
      <w:pPr>
        <w:pStyle w:val="Caption"/>
        <w:rPr>
          <w:lang w:val="en-US"/>
        </w:rPr>
      </w:pPr>
      <w:bookmarkStart w:id="53" w:name="_Ref204004578"/>
      <w:bookmarkStart w:id="54" w:name="_Toc204637066"/>
      <w:proofErr w:type="spellStart"/>
      <w:r>
        <w:t>Figure</w:t>
      </w:r>
      <w:proofErr w:type="spellEnd"/>
      <w:r>
        <w:t xml:space="preserve"> </w:t>
      </w:r>
      <w:fldSimple w:instr=" SEQ Figure \* ARABIC ">
        <w:r w:rsidR="007F7DB3">
          <w:rPr>
            <w:noProof/>
          </w:rPr>
          <w:t>13</w:t>
        </w:r>
      </w:fldSimple>
      <w:bookmarkEnd w:id="53"/>
      <w:r>
        <w:t xml:space="preserve"> - </w:t>
      </w:r>
      <w:r w:rsidRPr="00283D86">
        <w:t xml:space="preserve">Forest </w:t>
      </w:r>
      <w:proofErr w:type="spellStart"/>
      <w:r w:rsidRPr="00283D86">
        <w:t>plot</w:t>
      </w:r>
      <w:proofErr w:type="spellEnd"/>
      <w:r w:rsidRPr="00283D86">
        <w:t xml:space="preserve"> of </w:t>
      </w:r>
      <w:proofErr w:type="spellStart"/>
      <w:r w:rsidRPr="00283D86">
        <w:t>mean</w:t>
      </w:r>
      <w:proofErr w:type="spellEnd"/>
      <w:r w:rsidRPr="00283D86">
        <w:t xml:space="preserve"> </w:t>
      </w:r>
      <w:proofErr w:type="spellStart"/>
      <w:r w:rsidRPr="00283D86">
        <w:t>differences</w:t>
      </w:r>
      <w:proofErr w:type="spellEnd"/>
      <w:r w:rsidRPr="00283D86">
        <w:t xml:space="preserve"> of </w:t>
      </w:r>
      <w:proofErr w:type="spellStart"/>
      <w:r>
        <w:t>length</w:t>
      </w:r>
      <w:proofErr w:type="spellEnd"/>
      <w:r>
        <w:t xml:space="preserve"> of </w:t>
      </w:r>
      <w:proofErr w:type="spellStart"/>
      <w:r>
        <w:t>hospital</w:t>
      </w:r>
      <w:proofErr w:type="spellEnd"/>
      <w:r>
        <w:t xml:space="preserve"> </w:t>
      </w:r>
      <w:proofErr w:type="spellStart"/>
      <w:r>
        <w:t>stay</w:t>
      </w:r>
      <w:proofErr w:type="spellEnd"/>
      <w:r w:rsidRPr="00283D86">
        <w:t xml:space="preserve"> </w:t>
      </w:r>
      <w:r>
        <w:t>(</w:t>
      </w:r>
      <w:proofErr w:type="spellStart"/>
      <w:r>
        <w:t>days</w:t>
      </w:r>
      <w:proofErr w:type="spellEnd"/>
      <w:r>
        <w:t xml:space="preserve">) </w:t>
      </w:r>
      <w:proofErr w:type="spellStart"/>
      <w:r w:rsidRPr="00283D86">
        <w:t>between</w:t>
      </w:r>
      <w:proofErr w:type="spellEnd"/>
      <w:r w:rsidRPr="00283D86">
        <w:t xml:space="preserve"> </w:t>
      </w:r>
      <w:proofErr w:type="spellStart"/>
      <w:r w:rsidRPr="00283D86">
        <w:t>groups</w:t>
      </w:r>
      <w:proofErr w:type="spellEnd"/>
      <w:r>
        <w:rPr>
          <w:noProof/>
        </w:rPr>
        <w:t>.</w:t>
      </w:r>
      <w:bookmarkEnd w:id="54"/>
    </w:p>
    <w:p w14:paraId="4462F8E2" w14:textId="77777777" w:rsidR="00CC0EA9" w:rsidRDefault="00334116" w:rsidP="00CC0EA9">
      <w:pPr>
        <w:keepNext/>
      </w:pPr>
      <w:r>
        <w:rPr>
          <w:noProof/>
        </w:rPr>
        <w:lastRenderedPageBreak/>
        <w:drawing>
          <wp:inline distT="0" distB="0" distL="0" distR="0" wp14:anchorId="394E7F01" wp14:editId="72C0CF3B">
            <wp:extent cx="5400040" cy="3597910"/>
            <wp:effectExtent l="19050" t="19050" r="10160" b="21590"/>
            <wp:docPr id="912980023" name="Picture 6" descr="A diagram of a mod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980023" name="Picture 6" descr="A diagram of a model&#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3597910"/>
                    </a:xfrm>
                    <a:prstGeom prst="rect">
                      <a:avLst/>
                    </a:prstGeom>
                    <a:noFill/>
                    <a:ln>
                      <a:solidFill>
                        <a:schemeClr val="tx1"/>
                      </a:solidFill>
                    </a:ln>
                  </pic:spPr>
                </pic:pic>
              </a:graphicData>
            </a:graphic>
          </wp:inline>
        </w:drawing>
      </w:r>
    </w:p>
    <w:p w14:paraId="331B9437" w14:textId="261565B6" w:rsidR="005D4B57" w:rsidRPr="00483D15" w:rsidRDefault="00CC0EA9" w:rsidP="00CC0EA9">
      <w:pPr>
        <w:pStyle w:val="Caption"/>
        <w:rPr>
          <w:lang w:val="en-US"/>
        </w:rPr>
      </w:pPr>
      <w:bookmarkStart w:id="55" w:name="_Ref204004579"/>
      <w:bookmarkStart w:id="56" w:name="_Toc204637067"/>
      <w:proofErr w:type="spellStart"/>
      <w:r>
        <w:t>Figure</w:t>
      </w:r>
      <w:proofErr w:type="spellEnd"/>
      <w:r>
        <w:t xml:space="preserve"> </w:t>
      </w:r>
      <w:fldSimple w:instr=" SEQ Figure \* ARABIC ">
        <w:r w:rsidR="007F7DB3">
          <w:rPr>
            <w:noProof/>
          </w:rPr>
          <w:t>14</w:t>
        </w:r>
      </w:fldSimple>
      <w:bookmarkEnd w:id="55"/>
      <w:r>
        <w:t xml:space="preserve"> - </w:t>
      </w:r>
      <w:r w:rsidRPr="00544649">
        <w:t xml:space="preserve">Forest </w:t>
      </w:r>
      <w:proofErr w:type="spellStart"/>
      <w:r w:rsidRPr="00544649">
        <w:t>plot</w:t>
      </w:r>
      <w:proofErr w:type="spellEnd"/>
      <w:r w:rsidRPr="00544649">
        <w:t xml:space="preserve"> of </w:t>
      </w:r>
      <w:proofErr w:type="spellStart"/>
      <w:r w:rsidRPr="00544649">
        <w:t>mean</w:t>
      </w:r>
      <w:proofErr w:type="spellEnd"/>
      <w:r w:rsidRPr="00544649">
        <w:t xml:space="preserve"> </w:t>
      </w:r>
      <w:proofErr w:type="spellStart"/>
      <w:r w:rsidRPr="00544649">
        <w:t>differences</w:t>
      </w:r>
      <w:proofErr w:type="spellEnd"/>
      <w:r w:rsidRPr="00544649">
        <w:t xml:space="preserve"> of </w:t>
      </w:r>
      <w:proofErr w:type="spellStart"/>
      <w:r w:rsidRPr="00544649">
        <w:t>length</w:t>
      </w:r>
      <w:proofErr w:type="spellEnd"/>
      <w:r w:rsidRPr="00544649">
        <w:t xml:space="preserve"> of </w:t>
      </w:r>
      <w:proofErr w:type="spellStart"/>
      <w:r>
        <w:t>intensive</w:t>
      </w:r>
      <w:proofErr w:type="spellEnd"/>
      <w:r>
        <w:t xml:space="preserve"> </w:t>
      </w:r>
      <w:proofErr w:type="spellStart"/>
      <w:r>
        <w:t>care</w:t>
      </w:r>
      <w:proofErr w:type="spellEnd"/>
      <w:r>
        <w:t xml:space="preserve"> unit</w:t>
      </w:r>
      <w:r w:rsidRPr="00544649">
        <w:t xml:space="preserve"> </w:t>
      </w:r>
      <w:proofErr w:type="spellStart"/>
      <w:r w:rsidRPr="00544649">
        <w:t>stay</w:t>
      </w:r>
      <w:proofErr w:type="spellEnd"/>
      <w:r w:rsidRPr="00544649">
        <w:t xml:space="preserve"> (</w:t>
      </w:r>
      <w:proofErr w:type="spellStart"/>
      <w:r w:rsidRPr="00544649">
        <w:t>days</w:t>
      </w:r>
      <w:proofErr w:type="spellEnd"/>
      <w:r w:rsidRPr="00544649">
        <w:t xml:space="preserve">) </w:t>
      </w:r>
      <w:proofErr w:type="spellStart"/>
      <w:r w:rsidRPr="00544649">
        <w:t>between</w:t>
      </w:r>
      <w:proofErr w:type="spellEnd"/>
      <w:r w:rsidRPr="00544649">
        <w:t xml:space="preserve"> </w:t>
      </w:r>
      <w:proofErr w:type="spellStart"/>
      <w:r w:rsidRPr="00544649">
        <w:t>groups</w:t>
      </w:r>
      <w:proofErr w:type="spellEnd"/>
      <w:r w:rsidRPr="00544649">
        <w:t>.</w:t>
      </w:r>
      <w:bookmarkEnd w:id="56"/>
    </w:p>
    <w:p w14:paraId="212C24AB" w14:textId="58145468" w:rsidR="00BE41E3" w:rsidRDefault="008A4382" w:rsidP="0036711F">
      <w:pPr>
        <w:rPr>
          <w:lang w:val="en-US"/>
        </w:rPr>
      </w:pPr>
      <w:r w:rsidRPr="00483D15">
        <w:rPr>
          <w:lang w:val="en-US"/>
        </w:rPr>
        <w:t>The 28-day mortality rates were reported in 5 studies (850 patients)</w:t>
      </w:r>
      <w:r w:rsidR="001F3E9D">
        <w:rPr>
          <w:lang w:val="en-US"/>
        </w:rPr>
        <w:t xml:space="preserve"> </w:t>
      </w:r>
      <w:r w:rsidR="00371B09" w:rsidRPr="00483D15">
        <w:rPr>
          <w:lang w:val="en-US"/>
        </w:rPr>
        <w:fldChar w:fldCharType="begin"/>
      </w:r>
      <w:r w:rsidR="00EF58E5">
        <w:rPr>
          <w:lang w:val="en-US"/>
        </w:rPr>
        <w:instrText xml:space="preserve"> ADDIN ZOTERO_ITEM CSL_CITATION {"citationID":"bXd0gQhh","properties":{"formattedCitation":"[3,13,14,60,64]","plainCitation":"[3,13,14,60,64]","noteIndex":0},"citationItems":[{"id":187,"uris":["http://zotero.org/users/local/L5HAWlIW/items/8MR6RMK8"],"itemData":{"id":187,"type":"article-journal","abstract":"This study aimed to observe the effects of lung-protective ventilation (LPV) on oxygenation index (OI) and postoperative pulmonary complications (PPCs) after laparoscopic radical gastrectomy in middle-aged and elderly patients. A total of 120 patients who were scheduled to undergo laparoscopic radical gastrectomy with an expected time of &gt;3 h were randomly divided into conventional ventilation (CV group) with tidal volume (TV) of 10 mL/kg without positive end-expiratory pressure (PEEP), and lung-protective ventilation (PV group) with 7 mL/kg TV and personal level of PEEP with regular recruitment maneuver every 30 min. Measurements of OI, modified clinical pulmonary infection score (mCPIS), and PPCs were assessed during the perioperative period. Fifty-seven patients in the CV group and 58 in the PV group participated in the data analysis. Patients in the PV group showed better pulmonary dynamic compliance, OI, and peripheral capillary oxygen saturation during and after surgery. The mCPIS was significantly lower in the PV group than in the CV group after surgery. The incidence rate of PPCs was lower in the PV group than in the CV group and the difference was significant in patients whose ventilation time was longer than 6 h in both groups. LPV during laparoscopic radical gastrectomy significantly improved pulmonary oxygenation function and reduced postoperative mCPIS and the incidence of PPCs during the early period after surgery of middle-aged and elderly patients, especially patients whose mechanical ventilation time was longer than 6 h.","container-title":"Brazilian journal of medical and biological research = Revista brasileira de pesquisas medicas e biologicas","DOI":"10.1590/1414-431x20198523","issue":"6","note":"publisher: Associacao Brasileira de Divulgacao Cientifica","page":"e8523-NA","title":"Effect of intraoperative lung-protective mechanical ventilation on pulmonary oxygenation function and postoperative pulmonary complications after laparoscopic radical gastrectomy.","volume":"52","author":[{"family":"Liu","given":"Jing; Meng","suffix":"Zhipeng; Lv, Ran; Zhang, Yaping; Wang, Gaojian; Xie, Junran"}],"issued":{"date-parts":[["2019"]]}}},{"id":178,"uris":["http://zotero.org/users/local/L5HAWlIW/items/BNXF362C"],"itemData":{"id":178,"type":"article-journal","abstract":"NA","container-title":"The Lancet. Respiratory medicine","DOI":"10.1016/s2213-2600(18)30024-9","issue":"3","note":"publisher: Elsevier Limited","page":"193-203","title":"Individualised perioperative open-lung approach versus standard protective ventilation in abdominal surgery (iPROVE): a randomised controlled trial.","volume":"6","author":[{"family":"Ferrando","given":"Carlos; Soro","suffix":"Marina; Unzueta, Carmen; Suarez-Sipmann, Fernando; Canet, Jaume; Librero, Julián; Pozo, Natividad; Peiró, Salvador; Llombart, Alicia; León, Irene; India, Inmaculada; Aldecoa, Cesar; Diaz-Cambronero, Oscar; Pestaña, David; Redondo, Francisco J; Garutti, Ignacio; Balust, Jaume; García, Jose Ignacio; Ibáñez, Maite; Granell, M.; Rodríguez, Aurelio; Gallego, Lucía; de la Matta, Manuel; González, Rafael; Brunelli, Andrea; García, Javier Contreras; Rovira, Lucas; Barrios, Francisco; Torres, Vicente; Hernández, Samuel; Gracia, Estefania; Giné, Marta; Garcia, Maria; Garcia, Nuria; Miguel, Lisset; Sánchez, Sergio; Piñeiro, Patricia; Pujol, Roger; García-del-Valle, Santiago; Valdivia, José; Hernández, María; Padrón, Oto; Colás, Ana; Puig, Jaume; Azparren, Gonzalo; Tusman, Gerardo; Villar, Jesús; Belda, Javier; Acosta, Jesús; Aguilar, Gerardo; Alberola, María José; Alcón, Amalia; Alonso, Jose M.; Alonso, María Dolores; Anaya, Rafael; Argente, María Pilar; Agilaga, Marta; Arocas, Blanca; Asensio, Ana; Ayas, Begoña; Ayuso, Mercedes; Balandrón, Victor; Del Barrio, Maria; Bejarano, Natalia; Benítez, Inmaculada; Cabrera, Sergio; Carbonell, José A.; Carramiñana, Albert; Carrizo, Juan; Cegarra, Virginia; Chamorro, Estefanía; Charco, Pedro; Cruz, Patricia; Daviu, Francisco; De Fez, Mario; de Miguel, Angeles; Del Río, Elena; Delgado, Carlos; Díaz, Ruben; Díaz, Susana; Díez, Fernando; Dosdá, Rosa; Duca, Alejandro; Etulain, Ma Justina; Fernández, Carmen; Franco, Tania; Fuentes, Isabel; Gallego, Clara; Gallego-Casilda, Alberto; Galve, Ana Isabel; Garcés, Cristina; García, Mercedes; Garcia, Pablo; Garrigues, Beatriz; Gilabert, Vicente; González, Domingo; Gutierrez, Andrea; Hernández, Inmaculada; Izquierdo, Ana; Jurado, Ana; Katime, Antonio; Llamazares, Eduardo; Lardies, Rosa; Lisbona, Cristina; López-Herrera, Daniel; López, Ramiro; Lozano, Angels; Lozano, Elena; Marcos, José M.; Martín, Silvia; Martínez, Nilda; Martínez, Rocío; Martínez-Pallí, Graciella; Mazzinari, Guido; Miñana, Amanda; Moral, Victoria; Moreno, Tania; Mugarra, Ana; Muñoz, Lorena; Navarro, José I.; Olmedilla, Luis; Olmedo, Jonathan; Ojeda, Nazario; Parera, Ana; Parra, María Asunción; Parrilla, Cristina; Pastor, Ernesto; Peña, Natalia; Pérez, Ana María; Pérez, Jose María; Piqueras, Laura; Rico-Feijoo, Jesús; Rodríguez, Rayco; Román, Javier Ignacio; Romero, Antonio; Romero, Carolina; Romero, Esther; Ruiz, Isabel; Sánchez, Ester; Sandín, Francisco; Serralta, Ferran; Socorro, Tania; Soriano, Laura; Tisner, Manuel; Valencia, Lucía; Valls, Paola; Vaquero, Laura; Varón, Viviana; Vila, María; Villazala, Rubén; Villena, Abigail; Zapatero, Sara"}],"issued":{"date-parts":[["2018"]]}}},{"id":163,"uris":["http://zotero.org/users/local/L5HAWlIW/items/V9KG3S7Z"],"itemData":{"id":163,"type":"article-journal","abstract":"Abstract Background General anaesthesia leads to atelectasis, reduced end-expiratory lung volume (EELV), and diminished arterial oxygenation in obese patients. We hypothesized that a combination of a recruitment manoeuvre (RM) and individualized positive end-expiratory pressure (PEEP) can avoid these effects. Methods Patients with a BMI ≥35 kg m−2 undergoing elective laparoscopic surgery were randomly allocated to mechanical ventilation with a tidal volume of 8 ml kg−1 predicted body weight and (i) an RM followed by individualized PEEP titrated using electrical impedance tomography (PEEPIND) or (ii) no RM and PEEP of 5 cm H2O (PEEP5). Gas exchange, regional ventilation distribution, and EELV (multiple breath nitrogen washout method) were determined before, during, and after anaesthesia. The primary end point was the ratio of arterial partial pressure of oxygen to inspiratory oxygen fraction (PaO2/FiO2). Results For PEEPIND (n=25) and PEEP5 (n=25) arms together, PaO2/FiO2 and EELV decreased by 15 kPa [95% confidence interval (CI) 11–20 kPa, P Conclusions In obese patients, an RM and higher PEEPIND restored EELV, regional ventilation distribution, and oxygenation during anaesthesia, but these differences did not persist after extubation. Therefore, lung protection strategies should include the postoperative period. Clinical trial registration German clinical trials register DRKS00004199, www.who.int/ictrp/network/drks2/en/.","container-title":"British journal of anaesthesia","DOI":"10.1093/bja/aex192","issue":"6","note":"publisher: Oxford University Press","page":"1194-1205","title":"Individualized positive end-expiratory pressure in obese patients during general anaesthesia: a randomized controlled clinical trial using electrical impedance tomography","volume":"119","author":[{"family":"Nestler","given":"C.; Simon","suffix":"P.; Petroff, David; Hammermüller, Sören; Kamrath, D.; Wolf, Samuel J.; Dietrich, Arne; Camilo, Luciana Moisés; Beda, Alessandro; Carvalho, Alysson R.; Giannella-Neto, Antonio; Reske, Andreas W.; Wrigge, Hermann"}],"issued":{"date-parts":[["2017"]]}}},{"id":1566,"uris":["http://zotero.org/users/local/L5HAWlIW/items/5KHQPKBX"],"itemData":{"id":1566,"type":"article-journal","container-title":"Egyptian Journal of Anaesthesia","DOI":"10.1080/11101849.2023.2230050","ISSN":"1110-1849","issue":"1","journalAbbreviation":"Egyptian Journal of Anaesthesia","language":"en","page":"496-501","source":"DOI.org (Crossref)","title":"Effect of individualized intraoperative lung recruitment maneuver on postoperative pulmonary complications in patients undergoing upper abdominal surgeries under general anesthesia","volume":"39","author":[{"family":"Mohammad Salama","given":"Mohammad Elhossieny"},{"family":"El-Taher","given":"Ezzat Mohamed"},{"family":"Abdel-Rahman Al-Touny","given":"Ahmad Hamed"},{"family":"Ismail","given":"Reda Aboelmagd"},{"family":"Abdel-Ghaffar","given":"Mohamed Emad Eldin"}],"issued":{"date-parts":[["2023",12,31]]}}},{"id":157,"uris":["http://zotero.org/users/local/L5HAWlIW/items/9I65CFBK"],"itemData":{"id":157,"type":"article-journal","abstract":"Background The optimal positive end-expiratory pressure (PEEP) to prevent postoperative pulmonary complications (PPCs) remains unclear. Recent evidence showed that driving pressure was closely related to PPCs. In this study, we tested the hypothesis that an individualized PEEP guided by minimum driving pressure during abdominal surgery would reduce the incidence of PPCs. Methods This single-centered, randomized controlled trial included a total of 148 patients scheduled for open upper abdominal surgery. Patients were randomly assigned to receive an individualized PEEP guided by minimum driving pressure or an empiric fixed PEEP of 6 cm H2O. The primary outcome was the incidence of clinically significant PPCs within the first 7 days after surgery, using a χ2 test. Secondary outcomes were the severity of PPCs, the area of atelectasis, and pleural effusion. Other outcomes, such as the incidence of different types of PPCs (including hypoxemia, atelectasis, pleural effusion, dyspnea, pneumonia, pneumothorax, and acute respiratory distress syndrome), intensive care unit (ICU) admission rate, length of hospital stay, and 30-day mortality were also explored. Results The median value of PEEP in the individualized group was 10 cm H2O. The incidence of clinically significant PPCs was significantly lower in the individualized PEEP group compared with that in the fixed PEEP group (26 of 67 [38.8%] vs 42 of 67 [62.7%], relative risk = 0.619, 95% confidence intervals, 0.435-0.881; P = .006). The overall severity of PPCs and the area of atelectasis were also significantly diminished in the individualized PEEP group. Higher respiratory compliance during surgery and improved intra- and postoperative oxygenation was observed in the individualized group. No significant differences were found in other outcomes between the 2 groups, such as ICU admission rate or 30-day mortality. Conclusions The application of individualized PEEP based on minimum driving pressure may effectively decrease the severity of atelectasis, improve oxygenation, and reduce the incidence of clinically significant PPCs after open upper abdominal surgery.","container-title":"Anesthesia and analgesia","DOI":"10.1213/ane.0000000000005575","issue":"5","note":"publisher: Lippincott Williams and Wilkins","page":"1197-1205","title":"Driving Pressure-Guided Individualized Positive End-Expiratory Pressure in Abdominal Surgery: A Randomized Controlled Trial.","volume":"133","author":[{"family":"Zhang","given":"Chengmi; Xu","suffix":"Fengying; Li, Weiwei; Tong, Xingyu; Xia, Ran; Wang, Wei; Du, Jianer; Shi, Xueyin"}],"issued":{"date-parts":[["2021"]]}}}],"schema":"https://github.com/citation-style-language/schema/raw/master/csl-citation.json"} </w:instrText>
      </w:r>
      <w:r w:rsidR="00371B09" w:rsidRPr="00483D15">
        <w:rPr>
          <w:lang w:val="en-US"/>
        </w:rPr>
        <w:fldChar w:fldCharType="separate"/>
      </w:r>
      <w:r w:rsidR="00EF58E5" w:rsidRPr="00EF58E5">
        <w:rPr>
          <w:rFonts w:cs="Times New Roman"/>
        </w:rPr>
        <w:t>[3,13,14,60,64]</w:t>
      </w:r>
      <w:r w:rsidR="00371B09" w:rsidRPr="00483D15">
        <w:rPr>
          <w:lang w:val="en-US"/>
        </w:rPr>
        <w:fldChar w:fldCharType="end"/>
      </w:r>
      <w:r w:rsidRPr="00483D15">
        <w:rPr>
          <w:lang w:val="en-US"/>
        </w:rPr>
        <w:t>, and the overall risk ratio (RR) showed no significant differences between the groups (RR = 1.0, 95% CI: 0.41–2.46, I² = 0%, p = 0.991)</w:t>
      </w:r>
      <w:r w:rsidR="00CC0EA9">
        <w:rPr>
          <w:lang w:val="en-US"/>
        </w:rPr>
        <w:t xml:space="preserve"> shown on </w:t>
      </w:r>
      <w:r w:rsidR="00BD4DF4">
        <w:rPr>
          <w:lang w:val="en-US"/>
        </w:rPr>
        <w:fldChar w:fldCharType="begin"/>
      </w:r>
      <w:r w:rsidR="00BD4DF4">
        <w:rPr>
          <w:lang w:val="en-US"/>
        </w:rPr>
        <w:instrText xml:space="preserve"> REF _Ref204004690 \h </w:instrText>
      </w:r>
      <w:r w:rsidR="00BD4DF4">
        <w:rPr>
          <w:lang w:val="en-US"/>
        </w:rPr>
      </w:r>
      <w:r w:rsidR="00BD4DF4">
        <w:rPr>
          <w:lang w:val="en-US"/>
        </w:rPr>
        <w:fldChar w:fldCharType="separate"/>
      </w:r>
      <w:proofErr w:type="spellStart"/>
      <w:r w:rsidR="007F7DB3">
        <w:t>Figure</w:t>
      </w:r>
      <w:proofErr w:type="spellEnd"/>
      <w:r w:rsidR="007F7DB3">
        <w:t xml:space="preserve"> </w:t>
      </w:r>
      <w:r w:rsidR="007F7DB3">
        <w:rPr>
          <w:noProof/>
        </w:rPr>
        <w:t>15</w:t>
      </w:r>
      <w:r w:rsidR="00BD4DF4">
        <w:rPr>
          <w:lang w:val="en-US"/>
        </w:rPr>
        <w:fldChar w:fldCharType="end"/>
      </w:r>
      <w:r w:rsidRPr="00483D15">
        <w:rPr>
          <w:lang w:val="en-US"/>
        </w:rPr>
        <w:t>.</w:t>
      </w:r>
    </w:p>
    <w:p w14:paraId="069600D4" w14:textId="77777777" w:rsidR="00BD4DF4" w:rsidRDefault="00BD4DF4" w:rsidP="00BD4DF4">
      <w:pPr>
        <w:keepNext/>
      </w:pPr>
      <w:r>
        <w:rPr>
          <w:noProof/>
        </w:rPr>
        <w:drawing>
          <wp:inline distT="0" distB="0" distL="0" distR="0" wp14:anchorId="064E5F87" wp14:editId="46774190">
            <wp:extent cx="5400040" cy="2159000"/>
            <wp:effectExtent l="19050" t="19050" r="10160" b="12700"/>
            <wp:docPr id="124273487" name="Picture 8"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73487" name="Picture 8" descr="A graph with numbers and lines&#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2159000"/>
                    </a:xfrm>
                    <a:prstGeom prst="rect">
                      <a:avLst/>
                    </a:prstGeom>
                    <a:noFill/>
                    <a:ln>
                      <a:solidFill>
                        <a:schemeClr val="tx1"/>
                      </a:solidFill>
                    </a:ln>
                  </pic:spPr>
                </pic:pic>
              </a:graphicData>
            </a:graphic>
          </wp:inline>
        </w:drawing>
      </w:r>
    </w:p>
    <w:p w14:paraId="10D92675" w14:textId="427C16E9" w:rsidR="00CC0EA9" w:rsidRPr="00483D15" w:rsidRDefault="00BD4DF4" w:rsidP="00BD4DF4">
      <w:pPr>
        <w:pStyle w:val="Caption"/>
        <w:rPr>
          <w:lang w:val="en-US"/>
        </w:rPr>
      </w:pPr>
      <w:bookmarkStart w:id="57" w:name="_Ref204004690"/>
      <w:bookmarkStart w:id="58" w:name="_Toc204637068"/>
      <w:proofErr w:type="spellStart"/>
      <w:r>
        <w:t>Figure</w:t>
      </w:r>
      <w:proofErr w:type="spellEnd"/>
      <w:r>
        <w:t xml:space="preserve"> </w:t>
      </w:r>
      <w:fldSimple w:instr=" SEQ Figure \* ARABIC ">
        <w:r w:rsidR="007F7DB3">
          <w:rPr>
            <w:noProof/>
          </w:rPr>
          <w:t>15</w:t>
        </w:r>
      </w:fldSimple>
      <w:bookmarkEnd w:id="57"/>
      <w:r>
        <w:t xml:space="preserve"> - Forest </w:t>
      </w:r>
      <w:proofErr w:type="spellStart"/>
      <w:r>
        <w:t>plot</w:t>
      </w:r>
      <w:proofErr w:type="spellEnd"/>
      <w:r>
        <w:t xml:space="preserve"> of 28-day </w:t>
      </w:r>
      <w:proofErr w:type="spellStart"/>
      <w:r>
        <w:t>mortality</w:t>
      </w:r>
      <w:proofErr w:type="spellEnd"/>
      <w:r>
        <w:t xml:space="preserve"> in </w:t>
      </w:r>
      <w:proofErr w:type="spellStart"/>
      <w:r>
        <w:t>the</w:t>
      </w:r>
      <w:proofErr w:type="spellEnd"/>
      <w:r>
        <w:t xml:space="preserve"> </w:t>
      </w:r>
      <w:proofErr w:type="spellStart"/>
      <w:r>
        <w:t>study</w:t>
      </w:r>
      <w:proofErr w:type="spellEnd"/>
      <w:r>
        <w:t xml:space="preserve"> </w:t>
      </w:r>
      <w:proofErr w:type="spellStart"/>
      <w:r>
        <w:t>groups</w:t>
      </w:r>
      <w:proofErr w:type="spellEnd"/>
      <w:r>
        <w:t>.</w:t>
      </w:r>
      <w:bookmarkEnd w:id="58"/>
    </w:p>
    <w:p w14:paraId="03B17D96" w14:textId="722A962D" w:rsidR="00650CBF" w:rsidRPr="00483D15" w:rsidRDefault="00BE41E3" w:rsidP="0036711F">
      <w:pPr>
        <w:rPr>
          <w:lang w:val="en-US"/>
        </w:rPr>
      </w:pPr>
      <w:r w:rsidRPr="00483D15">
        <w:rPr>
          <w:lang w:val="en-US"/>
        </w:rPr>
        <w:lastRenderedPageBreak/>
        <w:t>Finally, there were outcomes for which data were insufficient to conduct a meta-analysis, such as oxygen saturation, postoperative IL-6, C-reactive protein (CRP), and procalcitonin (PCT)</w:t>
      </w:r>
      <w:r w:rsidR="001F3E9D">
        <w:rPr>
          <w:lang w:val="en-US"/>
        </w:rPr>
        <w:t xml:space="preserve"> </w:t>
      </w:r>
      <w:r w:rsidR="00EC40BF" w:rsidRPr="00483D15">
        <w:rPr>
          <w:lang w:val="en-US"/>
        </w:rPr>
        <w:fldChar w:fldCharType="begin"/>
      </w:r>
      <w:r w:rsidR="005F0D84">
        <w:rPr>
          <w:lang w:val="en-US"/>
        </w:rPr>
        <w:instrText xml:space="preserve"> ADDIN ZOTERO_ITEM CSL_CITATION {"citationID":"aoolSU6r","properties":{"formattedCitation":"[6,15,46,53]","plainCitation":"[6,15,46,53]","noteIndex":0},"citationItems":[{"id":167,"uris":["http://zotero.org/users/local/L5HAWlIW/items/53VQRNW3"],"itemData":{"id":167,"type":"article-journal","abstract":"Applying lung protective mechanical ventilation (LPV) during general anaesthesia even in patients with non-injured lungs is recommended. However, the effects of an individual PEEP-optimisation on respiratory mechanics, oxygenation and their potential correlation with the inflammatory response and postoperative complications have not been evaluated have not been compared to standard LPV in patients undergoing major abdominal surgery. Thirty-nine patients undergoing open radical cystectomy were enrolled in this study. In the study group (SG) optimal PEEP was determined by a decremental titration procedure and defined as the PEEP value resulting the highest static pulmonary compliance. In the control group (CG) PEEP was set to 6 cmH2O. Primary endpoints were intraoperative respiratory mechanics and gas exchange parameters. Secondary outcomes were perioperative procalcitonin kinetics and postoperative pulmonary complications. Optimal PEEP levels (median = 10, range: 8–14 cmH2O), PaO2/FiO2 (451.24 ± 121.78 mmHg vs. 404.15 ± 115.87 mmHg, P = 0.005) and static pulmonary compliance (52.54 ± 13.59 ml cmH2O-1 vs. 45.22 ± 9.13 ml cmH2O-1, P &lt; 0.0001) were significantly higher, while driving pressure (8.26 ± 1.74 cmH2O vs. 9.73 ± 4.02 cmH2O, P &lt; 0.0001) was significantly lower in the SG as compared to the CG. No significant intergroup differences were found in procalcitonin kinetics (P = 0.076). Composite outcome results indicated a non-significant reduction of postoperative complications in the SG. Intraoperative PEEP-optimization resulted in significant improvement in gas exchange and pulmonary mechanics as compared to standard LPV. Whether these have any effect on short and long term outcomes require further investigations. Trial registration: Clinicaltrials.gov, identifier: NCT02931409.","container-title":"Journal of clinical monitoring and computing","DOI":"10.1007/s10877-020-00519-6","issue":"3","note":"publisher: Springer Netherlands","page":"469-482","title":"Effects of intraoperative positive end-expiratory pressure optimization on respiratory mechanics and the inflammatory response: a randomized controlled trial","volume":"35","author":[{"family":"Ruszkai","given":"Zoltán; Kiss","suffix":"Erika; László, Ildikó; Bokrétás, Gergely Péter; Vizserálek, Dóra; Vámossy, Ildikó; Surány, Erika; Buzogány, István; Bajory, Zoltán; Molnár, Zsolt"}],"issued":{"date-parts":[["2020"]]}}},{"id":143,"uris":["http://zotero.org/users/local/L5HAWlIW/items/DLC97TPW"],"itemData":{"id":143,"type":"article-journal","abstract":"For patients undergoing robot-assisted radical prostatectomy, the pneumoperitoneum with a steep Trendelenburg position could worsen intraoperative respiratory mechanics and result in postoperative atelectasis. We investigated the effects of individualized positive end-expiratory pressure (PEEP) on postoperative atelectasis, evaluated using lung ultrasonography. Sixty patients undergoing robot-assisted radical prostatectomy were randomly allocated into two groups. Individualized groups (n = 30) received individualized PEEP determined by a decremental PEEP trial using 20 to 7 cm H2O, aiming at maximizing respiratory compliance, whereas standardized groups (n = 30) received a standardized PEEP of 7 cm H2O during the pneumoperitoneum. Ultrasound examination was performed on 12 sections of thorax, and the lung ultrasound score was measured as 0-3 by considering the number of B lines and the degree of subpleural consolidation. The primary outcome was the difference between the lung ultrasound scores measured before anesthesia induction and just after extubation in the operating room. An increase in the difference means the development of atelectasis. The optimal PEEP in the individualized group was determined as the median (interquartile range) 14 (12-18) cm H2O. Compared with the standardized group, the difference in the lung ultrasound scores was significantly smaller in the individualized group (-0.5 ± 2.7 vs. 6.0 ± 2.9, mean difference -6.53, 95% confidence interval (-8.00 to -5.07), p &lt; 0.001), which means that individualized PEEP was effective to reduce atelectasis. The lung ultrasound score measured after surgery was significantly lower in the individualized group than the standardized group (8.1 ± 5.7 vs. 12.2 ± 4.2, mean difference -4.13, 95% confidence interval (-6.74 to -1.53), p = 0.002). However, the arterial partial pressure of the oxygen/fraction of inspired oxygen levels during the surgery showed no significant time-group interaction between the two groups in repeated-measures analysis of variance (p = 0.145). The incidence of a composite of postoperative respiratory complications was comparable between the two groups. Individualized PEEP determined by maximal respiratory compliance during the pneumoperitoneum and steep Trendelenburg position significantly reduced postoperative atelectasis, as evaluated using lung ultrasonography. However, the clinical significance of this finding should be evaluated by a larger clinical trial.","container-title":"Journal of clinical medicine","DOI":"10.3390/jcm10040850","issue":"4","note":"publisher: Multidisciplinary Digital Publishing Institute (MDPI)","page":"850-NA","title":"The Effect of Ventilation with Individualized Positive End-Expiratory Pressure on Postoperative Atelectasis in Patients Undergoing Robot-Assisted Radical Prostatectomy: A Randomized Controlled Trial.","volume":"10","author":[{"family":"Yoon","given":"Hyun Kyu; Kim","suffix":"Bo Rim; Yoon, Susie; Jeong, Young Hyun; Ku, Ja Hyeon; Kim, Won Ho"}],"issued":{"date-parts":[["2021"]]}}},{"id":149,"uris":["http://zotero.org/users/local/L5HAWlIW/items/HSM2JN5A"],"itemData":{"id":149,"type":"article-journal","abstract":"Abstract Background Higher intraoperative driving pressures (ΔP) are associated with increased postoperative pulmonary complications (PPC). We hypothesised that dynamic adjustment of PEEP throughout abdominal surgery reduces ΔP, maintains positive end-expiratory transpulmonary pressures (Ptp_ee) and increases respiratory system static compliance (Crs) with PEEP levels that are variable between and within patients. Methods In a prospective multicentre pilot study, adults at moderate/high risk for PPC undergoing elective abdominal surgery were randomised to one of three ventilation protocols: (1) PEEP≤2 cm H2O, compared with periodic recruitment manoeuvres followed by individualised PEEP to either optimise respiratory system compliance (PEEPmaxCrs) or maintain positive end-expiratory transpulmonary pressure (PEEPPtp_ee). The composite primary outcome included intraoperative ΔP, Ptp_ee, Crs, and PEEP values (median (interquartile range) and coefficients of variation [CVPEEP]). Results Thirty-seven patients (48.6% female; age range: 47–73 yr) were assigned to control (PEEP≤2 cm H2O; n=13), PEEPmaxCrs (n=16), or PEEPPtp_ee (n=8) groups. The PEEPPtp_ee intervention could not be delivered in two patients. Subjects assigned to PEEPmaxCrs had lower ΔP (median8 cm H2O [7–10]), compared with the control group (12 cm H2O [10–15]; P=0.006). PEEPmaxCrs was also associated with higher Ptp_ee (2.0 cm H2O [-0.7 to 4.5] vs controls: -8.3 cm H2O [-13.0 to -4.0]; P≤0.001) and higher Crs (47.7 ml cm H2O [43.2–68.8] vs controls: 39.0 ml cm H2O [32.9–43.4]; P=0.009). Individualised PEEP (PEEPmaxCrs and PEEPPtp_ee combined) varied widely (median: 10 cm H2O [8-15]; CVPEEP=0.24 [0.14–0.35]), both between, and within, subjects throughout surgery. Conclusions This pilot study suggests that individualised PEEP management strategies applied during abdominal surgery reduce driving pressure, maintain positive Ptp_ee and increase static compliance. The wide range of PEEP observed suggests that an individualised approach is required to optimise respiratory mechanics during abdominal surgery. Clinical trial registration NCT02671721.","container-title":"British journal of anaesthesia","DOI":"10.1016/j.bja.2020.06.030","issue":"3","note":"publisher: Oxford University Press","page":"383-392","title":"Individualized PEEP to optimise respiratory mechanics during abdominal surgery: a pilot randomised controlled trial","volume":"125","author":[{"family":"Fernandez-Bustamante","given":"Ana; Sprung","suffix":"Juraj; Parker, Robert A.; Bartels, Karsten; Weingarten, Toby N.; Kosour, Carolina; Thompson, B. Taylor; Melo, Marcos F. Vidal"}],"issued":{"date-parts":[["2020"]]}}},{"id":1518,"uris":["http://zotero.org/users/local/L5HAWlIW/items/RBGIT4XK"],"itemData":{"id":1518,"type":"article-journal","abstract":"Abstract\n            \n              The study aimed to investigate the efficacy of PCV-VG combined with individual PEEP during laparoscopic surgery in the Trendelenburg position. 120 patients were randomly divided into four groups: VF group (VCV plus 5cmH\n              2\n              O PEEP), PF group (PCV-VG plus 5cmH\n              2\n              O PEEP), VI group (VCV plus individual PEEP), and PI group (PCV-VG plus individual PEEP).\n              P\n              mean\n              ,\n              P\n              peak\n              , Cdyn, PaO\n              2\n              /FiO\n              2\n              ,\n              V\n              D\n              /V\n              T\n              , A-aDO\n              2\n              and Qs/Qt were recorded at T\n              1\n              (15 min after the induction of anesthesia), T\n              2\n              (60 min after pneumoperitoneum), and T\n              3\n              (5 min at the end of anesthesia). The CC16 and IL-6 were measured at T\n              1\n              and T\n              3\n              . Our results showed that the\n              P\n              mean\n              was increased in VI and PI group, and the\n              P\n              peak\n              was lower in PI group at T\n              2\n              . At T\n              2\n              and T\n              3\n              , the Cdyn of PI group was higher than that in other groups, and PaO\n              2\n              /FiO\n              2\n              was increased in PI group compared with VF and VI group. At T\n              2\n              and T\n              3\n              , A-aDO\n              2\n              of PI and PF group was reduced than that in other groups. The Qs/Qt was decreased in PI group compared with VF and VI group at T\n              2\n              and T\n              3\n              . At T\n              2\n              ,\n              V\n              D\n              /V\n              T\n              in PI group was decreased than other groups. At T\n              3\n              , the concentration of CC16 in PI group was lower compared with other groups, and IL-6 level of PI group was decreased than that in VF and VI group. In conclusion, the patients who underwent laparoscopic surgery, PCV-VG combined with individual PEEP produced favorable lung mechanics and oxygenation, and thus reducing inflammatory response and lung injury.\n            \n            \n              Clinical Trial registry\n              : chictr.org. identifier: ChiCTR-2100044928","container-title":"Journal of Clinical Monitoring and Computing","DOI":"10.1007/s10877-021-00750-9","ISSN":"1387-1307, 1573-2614","issue":"4","journalAbbreviation":"J Clin Monit Comput","language":"en","page":"1155-1164","source":"DOI.org (Crossref)","title":"Effect of pressure-controlled ventilation-volume guaranteed mode combined with individualized positive end-expiratory pressure on respiratory mechanics, oxygenation and lung injury in patients undergoing laparoscopic surgery in Trendelenburg position","volume":"36","author":[{"family":"Li","given":"Jianli"},{"family":"Ma","given":"Saixian"},{"family":"Chang","given":"Xiujie"},{"family":"Ju","given":"Songxu"},{"family":"Zhang","given":"Meng"},{"family":"Yu","given":"Dongdong"},{"family":"Rong","given":"Junfang"}],"issued":{"date-parts":[["2022",8]]}}}],"schema":"https://github.com/citation-style-language/schema/raw/master/csl-citation.json"} </w:instrText>
      </w:r>
      <w:r w:rsidR="00EC40BF" w:rsidRPr="00483D15">
        <w:rPr>
          <w:lang w:val="en-US"/>
        </w:rPr>
        <w:fldChar w:fldCharType="separate"/>
      </w:r>
      <w:r w:rsidR="005F0D84" w:rsidRPr="005F0D84">
        <w:rPr>
          <w:rFonts w:cs="Times New Roman"/>
        </w:rPr>
        <w:t>[6,15,46,53]</w:t>
      </w:r>
      <w:r w:rsidR="00EC40BF" w:rsidRPr="00483D15">
        <w:rPr>
          <w:lang w:val="en-US"/>
        </w:rPr>
        <w:fldChar w:fldCharType="end"/>
      </w:r>
      <w:r w:rsidR="001F3E9D">
        <w:rPr>
          <w:lang w:val="en-US"/>
        </w:rPr>
        <w:t>.</w:t>
      </w:r>
    </w:p>
    <w:p w14:paraId="014FC616" w14:textId="40966729" w:rsidR="00B70507" w:rsidRPr="00483D15" w:rsidRDefault="00B70507" w:rsidP="0036711F">
      <w:pPr>
        <w:pStyle w:val="Heading3"/>
        <w:rPr>
          <w:lang w:val="en-US"/>
        </w:rPr>
      </w:pPr>
      <w:bookmarkStart w:id="59" w:name="_Toc211542208"/>
      <w:r w:rsidRPr="00483D15">
        <w:rPr>
          <w:lang w:val="en-US"/>
        </w:rPr>
        <w:t>8.1.5. Risk of bias and quality of eviden</w:t>
      </w:r>
      <w:r w:rsidR="00676E04" w:rsidRPr="00483D15">
        <w:rPr>
          <w:lang w:val="en-US"/>
        </w:rPr>
        <w:t>ce assessment</w:t>
      </w:r>
      <w:bookmarkEnd w:id="59"/>
    </w:p>
    <w:p w14:paraId="1A19C522" w14:textId="1420BAAD" w:rsidR="007A68B5" w:rsidRDefault="007A68B5" w:rsidP="0036711F">
      <w:pPr>
        <w:rPr>
          <w:lang w:val="en-US"/>
        </w:rPr>
      </w:pPr>
      <w:r w:rsidRPr="00483D15">
        <w:rPr>
          <w:lang w:val="en-US"/>
        </w:rPr>
        <w:t xml:space="preserve">According to the recommendations, the authors assessed the risk of bias in the included studies using the Cochrane Collaboration Risk of Bias tool. They suggested "some risk" </w:t>
      </w:r>
      <w:r w:rsidR="00011C18" w:rsidRPr="00483D15">
        <w:rPr>
          <w:lang w:val="en-US"/>
        </w:rPr>
        <w:t xml:space="preserve">for </w:t>
      </w:r>
      <w:proofErr w:type="gramStart"/>
      <w:r w:rsidR="00D46745" w:rsidRPr="00483D15">
        <w:rPr>
          <w:lang w:val="en-US"/>
        </w:rPr>
        <w:t>the majority of</w:t>
      </w:r>
      <w:proofErr w:type="gramEnd"/>
      <w:r w:rsidR="00D46745" w:rsidRPr="00483D15">
        <w:rPr>
          <w:lang w:val="en-US"/>
        </w:rPr>
        <w:t xml:space="preserve"> the studies </w:t>
      </w:r>
      <w:r w:rsidRPr="00483D15">
        <w:rPr>
          <w:lang w:val="en-US"/>
        </w:rPr>
        <w:t xml:space="preserve">and a ’low risk’ of bias for </w:t>
      </w:r>
      <w:r w:rsidR="00D46745" w:rsidRPr="00483D15">
        <w:rPr>
          <w:lang w:val="en-US"/>
        </w:rPr>
        <w:t>some.</w:t>
      </w:r>
      <w:r w:rsidRPr="00483D15">
        <w:rPr>
          <w:lang w:val="en-US"/>
        </w:rPr>
        <w:t xml:space="preserve"> (</w:t>
      </w:r>
      <w:r w:rsidR="00ED7FE5">
        <w:rPr>
          <w:lang w:val="en-US"/>
        </w:rPr>
        <w:fldChar w:fldCharType="begin"/>
      </w:r>
      <w:r w:rsidR="00ED7FE5">
        <w:rPr>
          <w:lang w:val="en-US"/>
        </w:rPr>
        <w:instrText xml:space="preserve"> REF _Ref204004884 \h </w:instrText>
      </w:r>
      <w:r w:rsidR="00ED7FE5">
        <w:rPr>
          <w:lang w:val="en-US"/>
        </w:rPr>
      </w:r>
      <w:r w:rsidR="00ED7FE5">
        <w:rPr>
          <w:lang w:val="en-US"/>
        </w:rPr>
        <w:fldChar w:fldCharType="separate"/>
      </w:r>
      <w:proofErr w:type="spellStart"/>
      <w:r w:rsidR="007F7DB3">
        <w:t>Figure</w:t>
      </w:r>
      <w:proofErr w:type="spellEnd"/>
      <w:r w:rsidR="007F7DB3">
        <w:t xml:space="preserve"> </w:t>
      </w:r>
      <w:r w:rsidR="007F7DB3">
        <w:rPr>
          <w:noProof/>
        </w:rPr>
        <w:t>16</w:t>
      </w:r>
      <w:r w:rsidR="00ED7FE5">
        <w:rPr>
          <w:lang w:val="en-US"/>
        </w:rPr>
        <w:fldChar w:fldCharType="end"/>
      </w:r>
      <w:r w:rsidRPr="00483D15">
        <w:rPr>
          <w:lang w:val="en-US"/>
        </w:rPr>
        <w:t xml:space="preserve">). During the GRADE quality assessment, the level of evidence was </w:t>
      </w:r>
      <w:r w:rsidR="00713EDC" w:rsidRPr="00483D15">
        <w:rPr>
          <w:lang w:val="en-US"/>
        </w:rPr>
        <w:t>’</w:t>
      </w:r>
      <w:r w:rsidRPr="00483D15">
        <w:rPr>
          <w:lang w:val="en-US"/>
        </w:rPr>
        <w:t>high</w:t>
      </w:r>
      <w:r w:rsidR="00713EDC" w:rsidRPr="00483D15">
        <w:rPr>
          <w:lang w:val="en-US"/>
        </w:rPr>
        <w:t>’</w:t>
      </w:r>
      <w:r w:rsidRPr="00483D15">
        <w:rPr>
          <w:lang w:val="en-US"/>
        </w:rPr>
        <w:t xml:space="preserve"> regarding the duration of anesthesia and </w:t>
      </w:r>
      <w:r w:rsidR="00713EDC" w:rsidRPr="00483D15">
        <w:rPr>
          <w:lang w:val="en-US"/>
        </w:rPr>
        <w:t>’</w:t>
      </w:r>
      <w:r w:rsidRPr="00483D15">
        <w:rPr>
          <w:lang w:val="en-US"/>
        </w:rPr>
        <w:t>moderate</w:t>
      </w:r>
      <w:r w:rsidR="00713EDC" w:rsidRPr="00483D15">
        <w:rPr>
          <w:lang w:val="en-US"/>
        </w:rPr>
        <w:t>’</w:t>
      </w:r>
      <w:r w:rsidRPr="00483D15">
        <w:rPr>
          <w:lang w:val="en-US"/>
        </w:rPr>
        <w:t xml:space="preserve"> for PPCs, the PaO</w:t>
      </w:r>
      <w:r w:rsidRPr="006B3599">
        <w:rPr>
          <w:vertAlign w:val="subscript"/>
          <w:lang w:val="en-US"/>
        </w:rPr>
        <w:t>2</w:t>
      </w:r>
      <w:r w:rsidRPr="00483D15">
        <w:rPr>
          <w:lang w:val="en-US"/>
        </w:rPr>
        <w:t>/FiO</w:t>
      </w:r>
      <w:r w:rsidRPr="006B3599">
        <w:rPr>
          <w:vertAlign w:val="subscript"/>
          <w:lang w:val="en-US"/>
        </w:rPr>
        <w:t>2</w:t>
      </w:r>
      <w:r w:rsidRPr="00483D15">
        <w:rPr>
          <w:lang w:val="en-US"/>
        </w:rPr>
        <w:t xml:space="preserve"> ratio, the need for vasopressors, the duration of surgery, and the doses of ephedrine. It was </w:t>
      </w:r>
      <w:r w:rsidR="00713EDC" w:rsidRPr="00483D15">
        <w:rPr>
          <w:lang w:val="en-US"/>
        </w:rPr>
        <w:t>’</w:t>
      </w:r>
      <w:r w:rsidRPr="00483D15">
        <w:rPr>
          <w:lang w:val="en-US"/>
        </w:rPr>
        <w:t>low</w:t>
      </w:r>
      <w:r w:rsidR="00713EDC" w:rsidRPr="00483D15">
        <w:rPr>
          <w:lang w:val="en-US"/>
        </w:rPr>
        <w:t>’</w:t>
      </w:r>
      <w:r w:rsidRPr="00483D15">
        <w:rPr>
          <w:lang w:val="en-US"/>
        </w:rPr>
        <w:t xml:space="preserve"> for outcomes such as the PEEP value used, the maximum dose of norepinephrine (NE), Cdyn, Cstat, </w:t>
      </w:r>
      <w:proofErr w:type="spellStart"/>
      <w:r w:rsidRPr="00483D15">
        <w:rPr>
          <w:lang w:val="en-US"/>
        </w:rPr>
        <w:t>dP</w:t>
      </w:r>
      <w:proofErr w:type="spellEnd"/>
      <w:r w:rsidRPr="00483D15">
        <w:rPr>
          <w:lang w:val="en-US"/>
        </w:rPr>
        <w:t xml:space="preserve">, </w:t>
      </w:r>
      <w:proofErr w:type="spellStart"/>
      <w:r w:rsidRPr="00483D15">
        <w:rPr>
          <w:lang w:val="en-US"/>
        </w:rPr>
        <w:t>Pplat</w:t>
      </w:r>
      <w:proofErr w:type="spellEnd"/>
      <w:r w:rsidRPr="00483D15">
        <w:rPr>
          <w:lang w:val="en-US"/>
        </w:rPr>
        <w:t xml:space="preserve">, LOH, LO ICU, and phenylephrine used, and </w:t>
      </w:r>
      <w:r w:rsidR="00713EDC" w:rsidRPr="00483D15">
        <w:rPr>
          <w:lang w:val="en-US"/>
        </w:rPr>
        <w:t>’</w:t>
      </w:r>
      <w:r w:rsidRPr="00483D15">
        <w:rPr>
          <w:lang w:val="en-US"/>
        </w:rPr>
        <w:t>very low</w:t>
      </w:r>
      <w:r w:rsidR="00713EDC" w:rsidRPr="00483D15">
        <w:rPr>
          <w:lang w:val="en-US"/>
        </w:rPr>
        <w:t>’</w:t>
      </w:r>
      <w:r w:rsidRPr="00483D15">
        <w:rPr>
          <w:lang w:val="en-US"/>
        </w:rPr>
        <w:t xml:space="preserve"> </w:t>
      </w:r>
      <w:r w:rsidR="00713EDC" w:rsidRPr="00483D15">
        <w:rPr>
          <w:lang w:val="en-US"/>
        </w:rPr>
        <w:t xml:space="preserve">level of evidence </w:t>
      </w:r>
      <w:r w:rsidRPr="00483D15">
        <w:rPr>
          <w:lang w:val="en-US"/>
        </w:rPr>
        <w:t>for 28-day mortality</w:t>
      </w:r>
      <w:r w:rsidR="009F5320">
        <w:rPr>
          <w:lang w:val="en-US"/>
        </w:rPr>
        <w:t xml:space="preserve"> (</w:t>
      </w:r>
      <w:r w:rsidR="00BD573F">
        <w:rPr>
          <w:lang w:val="en-US"/>
        </w:rPr>
        <w:fldChar w:fldCharType="begin"/>
      </w:r>
      <w:r w:rsidR="00BD573F">
        <w:rPr>
          <w:lang w:val="en-US"/>
        </w:rPr>
        <w:instrText xml:space="preserve"> REF _Ref204004884 \h </w:instrText>
      </w:r>
      <w:r w:rsidR="00BD573F">
        <w:rPr>
          <w:lang w:val="en-US"/>
        </w:rPr>
      </w:r>
      <w:r w:rsidR="00BD573F">
        <w:rPr>
          <w:lang w:val="en-US"/>
        </w:rPr>
        <w:fldChar w:fldCharType="separate"/>
      </w:r>
      <w:proofErr w:type="spellStart"/>
      <w:r w:rsidR="007F7DB3">
        <w:t>Figure</w:t>
      </w:r>
      <w:proofErr w:type="spellEnd"/>
      <w:r w:rsidR="007F7DB3">
        <w:t xml:space="preserve"> </w:t>
      </w:r>
      <w:r w:rsidR="007F7DB3">
        <w:rPr>
          <w:noProof/>
        </w:rPr>
        <w:t>16</w:t>
      </w:r>
      <w:r w:rsidR="00BD573F">
        <w:rPr>
          <w:lang w:val="en-US"/>
        </w:rPr>
        <w:fldChar w:fldCharType="end"/>
      </w:r>
      <w:r w:rsidR="001F3E9D">
        <w:rPr>
          <w:lang w:val="en-US"/>
        </w:rPr>
        <w:t>,</w:t>
      </w:r>
      <w:r w:rsidR="0059588E">
        <w:rPr>
          <w:lang w:val="en-US"/>
        </w:rPr>
        <w:fldChar w:fldCharType="begin"/>
      </w:r>
      <w:r w:rsidR="0059588E">
        <w:rPr>
          <w:lang w:val="en-US"/>
        </w:rPr>
        <w:instrText xml:space="preserve"> REF _Ref204005265 \h </w:instrText>
      </w:r>
      <w:r w:rsidR="0059588E">
        <w:rPr>
          <w:lang w:val="en-US"/>
        </w:rPr>
      </w:r>
      <w:r w:rsidR="0059588E">
        <w:rPr>
          <w:lang w:val="en-US"/>
        </w:rPr>
        <w:fldChar w:fldCharType="separate"/>
      </w:r>
      <w:proofErr w:type="spellStart"/>
      <w:r w:rsidR="007F7DB3">
        <w:t>Table</w:t>
      </w:r>
      <w:proofErr w:type="spellEnd"/>
      <w:r w:rsidR="007F7DB3">
        <w:t xml:space="preserve"> </w:t>
      </w:r>
      <w:r w:rsidR="007F7DB3">
        <w:rPr>
          <w:noProof/>
        </w:rPr>
        <w:t>2</w:t>
      </w:r>
      <w:r w:rsidR="0059588E">
        <w:rPr>
          <w:lang w:val="en-US"/>
        </w:rPr>
        <w:fldChar w:fldCharType="end"/>
      </w:r>
      <w:r w:rsidR="0059588E">
        <w:rPr>
          <w:lang w:val="en-US"/>
        </w:rPr>
        <w:t xml:space="preserve">). </w:t>
      </w:r>
      <w:r w:rsidRPr="00483D15">
        <w:rPr>
          <w:lang w:val="en-US"/>
        </w:rPr>
        <w:t xml:space="preserve">Any disagreements were resolved by a </w:t>
      </w:r>
      <w:r w:rsidR="00561789" w:rsidRPr="00483D15">
        <w:rPr>
          <w:lang w:val="en-US"/>
        </w:rPr>
        <w:t>third</w:t>
      </w:r>
      <w:r w:rsidRPr="00483D15">
        <w:rPr>
          <w:lang w:val="en-US"/>
        </w:rPr>
        <w:t xml:space="preserve"> author during both processes.</w:t>
      </w:r>
    </w:p>
    <w:p w14:paraId="6947FB90" w14:textId="39F9DAD6" w:rsidR="009F5320" w:rsidRDefault="00ED7FE5" w:rsidP="00ED7FE5">
      <w:pPr>
        <w:keepNext/>
      </w:pPr>
      <w:r>
        <w:rPr>
          <w:noProof/>
        </w:rPr>
        <w:lastRenderedPageBreak/>
        <w:drawing>
          <wp:inline distT="0" distB="0" distL="0" distR="0" wp14:anchorId="50833B28" wp14:editId="26A9CC43">
            <wp:extent cx="4355863" cy="7973484"/>
            <wp:effectExtent l="19050" t="19050" r="26035" b="27940"/>
            <wp:docPr id="1527268351" name="Picture 9" descr="A chart of green and yellow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268351" name="Picture 9" descr="A chart of green and yellow dots&#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67970" cy="7995646"/>
                    </a:xfrm>
                    <a:prstGeom prst="rect">
                      <a:avLst/>
                    </a:prstGeom>
                    <a:noFill/>
                    <a:ln>
                      <a:solidFill>
                        <a:schemeClr val="tx1"/>
                      </a:solidFill>
                    </a:ln>
                  </pic:spPr>
                </pic:pic>
              </a:graphicData>
            </a:graphic>
          </wp:inline>
        </w:drawing>
      </w:r>
    </w:p>
    <w:p w14:paraId="343CF225" w14:textId="72A5AE35" w:rsidR="00BD4DF4" w:rsidRDefault="00ED7FE5" w:rsidP="00ED7FE5">
      <w:pPr>
        <w:pStyle w:val="Caption"/>
      </w:pPr>
      <w:bookmarkStart w:id="60" w:name="_Ref204004884"/>
      <w:bookmarkStart w:id="61" w:name="_Toc204637069"/>
      <w:bookmarkStart w:id="62" w:name="_Ref205726910"/>
      <w:proofErr w:type="spellStart"/>
      <w:r>
        <w:t>Figure</w:t>
      </w:r>
      <w:proofErr w:type="spellEnd"/>
      <w:r>
        <w:t xml:space="preserve"> </w:t>
      </w:r>
      <w:fldSimple w:instr=" SEQ Figure \* ARABIC ">
        <w:r w:rsidR="007F7DB3">
          <w:rPr>
            <w:noProof/>
          </w:rPr>
          <w:t>16</w:t>
        </w:r>
      </w:fldSimple>
      <w:bookmarkEnd w:id="60"/>
      <w:r>
        <w:t xml:space="preserve"> - </w:t>
      </w:r>
      <w:proofErr w:type="spellStart"/>
      <w:r>
        <w:t>Risk</w:t>
      </w:r>
      <w:proofErr w:type="spellEnd"/>
      <w:r>
        <w:t xml:space="preserve"> of </w:t>
      </w:r>
      <w:proofErr w:type="spellStart"/>
      <w:r>
        <w:t>bias</w:t>
      </w:r>
      <w:proofErr w:type="spellEnd"/>
      <w:r>
        <w:t xml:space="preserve"> </w:t>
      </w:r>
      <w:proofErr w:type="spellStart"/>
      <w:r>
        <w:t>assessment</w:t>
      </w:r>
      <w:proofErr w:type="spellEnd"/>
      <w:r>
        <w:t xml:space="preserve"> of </w:t>
      </w:r>
      <w:proofErr w:type="spellStart"/>
      <w:r>
        <w:t>the</w:t>
      </w:r>
      <w:proofErr w:type="spellEnd"/>
      <w:r>
        <w:t xml:space="preserve"> </w:t>
      </w:r>
      <w:proofErr w:type="spellStart"/>
      <w:r>
        <w:t>included</w:t>
      </w:r>
      <w:proofErr w:type="spellEnd"/>
      <w:r>
        <w:t xml:space="preserve"> </w:t>
      </w:r>
      <w:proofErr w:type="spellStart"/>
      <w:r>
        <w:t>studies</w:t>
      </w:r>
      <w:proofErr w:type="spellEnd"/>
      <w:r>
        <w:t>.</w:t>
      </w:r>
      <w:bookmarkEnd w:id="61"/>
      <w:bookmarkEnd w:id="62"/>
    </w:p>
    <w:p w14:paraId="4543FC82" w14:textId="77777777" w:rsidR="009F5320" w:rsidRPr="009F5320" w:rsidRDefault="009F5320" w:rsidP="009F5320"/>
    <w:p w14:paraId="4DD5F090" w14:textId="33A89D8F" w:rsidR="009F5320" w:rsidRDefault="009F5320" w:rsidP="009F5320">
      <w:pPr>
        <w:pStyle w:val="Caption"/>
        <w:keepNext/>
      </w:pPr>
      <w:bookmarkStart w:id="63" w:name="_Ref204005265"/>
      <w:bookmarkStart w:id="64" w:name="_Ref204005222"/>
      <w:proofErr w:type="spellStart"/>
      <w:r>
        <w:t>Table</w:t>
      </w:r>
      <w:proofErr w:type="spellEnd"/>
      <w:r>
        <w:t xml:space="preserve"> </w:t>
      </w:r>
      <w:fldSimple w:instr=" SEQ Table \* ARABIC ">
        <w:r w:rsidR="007F7DB3">
          <w:rPr>
            <w:noProof/>
          </w:rPr>
          <w:t>2</w:t>
        </w:r>
      </w:fldSimple>
      <w:bookmarkEnd w:id="63"/>
      <w:r>
        <w:t xml:space="preserve"> - GRADE </w:t>
      </w:r>
      <w:proofErr w:type="spellStart"/>
      <w:r>
        <w:t>quality</w:t>
      </w:r>
      <w:proofErr w:type="spellEnd"/>
      <w:r>
        <w:t xml:space="preserve"> </w:t>
      </w:r>
      <w:proofErr w:type="spellStart"/>
      <w:r>
        <w:t>assessment</w:t>
      </w:r>
      <w:proofErr w:type="spellEnd"/>
      <w:r>
        <w:t xml:space="preserve"> of </w:t>
      </w:r>
      <w:proofErr w:type="spellStart"/>
      <w:r>
        <w:t>the</w:t>
      </w:r>
      <w:proofErr w:type="spellEnd"/>
      <w:r>
        <w:t xml:space="preserve"> </w:t>
      </w:r>
      <w:proofErr w:type="spellStart"/>
      <w:r>
        <w:t>included</w:t>
      </w:r>
      <w:proofErr w:type="spellEnd"/>
      <w:r>
        <w:t xml:space="preserve"> </w:t>
      </w:r>
      <w:proofErr w:type="spellStart"/>
      <w:r>
        <w:t>studies</w:t>
      </w:r>
      <w:proofErr w:type="spellEnd"/>
      <w:r>
        <w:t xml:space="preserve"> in </w:t>
      </w:r>
      <w:proofErr w:type="spellStart"/>
      <w:r>
        <w:t>Study</w:t>
      </w:r>
      <w:proofErr w:type="spellEnd"/>
      <w:r>
        <w:t xml:space="preserve"> I.</w:t>
      </w:r>
      <w:bookmarkEnd w:id="64"/>
    </w:p>
    <w:tbl>
      <w:tblPr>
        <w:tblW w:w="5000" w:type="pct"/>
        <w:tblCellMar>
          <w:top w:w="60" w:type="dxa"/>
          <w:left w:w="60" w:type="dxa"/>
          <w:bottom w:w="60" w:type="dxa"/>
          <w:right w:w="60" w:type="dxa"/>
        </w:tblCellMar>
        <w:tblLook w:val="04A0" w:firstRow="1" w:lastRow="0" w:firstColumn="1" w:lastColumn="0" w:noHBand="0" w:noVBand="1"/>
      </w:tblPr>
      <w:tblGrid>
        <w:gridCol w:w="1309"/>
        <w:gridCol w:w="1001"/>
        <w:gridCol w:w="1002"/>
        <w:gridCol w:w="1002"/>
        <w:gridCol w:w="1002"/>
        <w:gridCol w:w="989"/>
        <w:gridCol w:w="2199"/>
      </w:tblGrid>
      <w:tr w:rsidR="009F5320" w14:paraId="64D46638" w14:textId="77777777" w:rsidTr="00350225">
        <w:trPr>
          <w:cantSplit/>
          <w:tblHeader/>
        </w:trPr>
        <w:tc>
          <w:tcPr>
            <w:tcW w:w="5000" w:type="pct"/>
            <w:gridSpan w:val="7"/>
            <w:tcBorders>
              <w:top w:val="single" w:sz="12" w:space="0" w:color="000000"/>
              <w:left w:val="nil"/>
              <w:bottom w:val="single" w:sz="12" w:space="0" w:color="000000"/>
              <w:right w:val="nil"/>
            </w:tcBorders>
            <w:vAlign w:val="center"/>
            <w:hideMark/>
          </w:tcPr>
          <w:p w14:paraId="76097B84" w14:textId="77777777" w:rsidR="009F5320" w:rsidRDefault="009F5320" w:rsidP="00350225">
            <w:pPr>
              <w:pStyle w:val="sof-title"/>
              <w:spacing w:before="0" w:beforeAutospacing="0" w:after="0" w:afterAutospacing="0"/>
              <w:rPr>
                <w:rFonts w:ascii="Arial Narrow" w:hAnsi="Arial Narrow"/>
                <w:sz w:val="22"/>
                <w:szCs w:val="22"/>
              </w:rPr>
            </w:pPr>
            <w:proofErr w:type="spellStart"/>
            <w:r>
              <w:rPr>
                <w:rFonts w:ascii="Arial Narrow" w:hAnsi="Arial Narrow"/>
                <w:b/>
                <w:bCs/>
                <w:sz w:val="22"/>
                <w:szCs w:val="22"/>
              </w:rPr>
              <w:t>Individualized</w:t>
            </w:r>
            <w:proofErr w:type="spellEnd"/>
            <w:r>
              <w:rPr>
                <w:rFonts w:ascii="Arial Narrow" w:hAnsi="Arial Narrow"/>
                <w:b/>
                <w:bCs/>
                <w:sz w:val="22"/>
                <w:szCs w:val="22"/>
              </w:rPr>
              <w:t xml:space="preserve"> PEEP </w:t>
            </w:r>
            <w:proofErr w:type="spellStart"/>
            <w:r>
              <w:rPr>
                <w:rFonts w:ascii="Arial Narrow" w:hAnsi="Arial Narrow"/>
                <w:b/>
                <w:bCs/>
                <w:sz w:val="22"/>
                <w:szCs w:val="22"/>
              </w:rPr>
              <w:t>compared</w:t>
            </w:r>
            <w:proofErr w:type="spellEnd"/>
            <w:r>
              <w:rPr>
                <w:rFonts w:ascii="Arial Narrow" w:hAnsi="Arial Narrow"/>
                <w:b/>
                <w:bCs/>
                <w:sz w:val="22"/>
                <w:szCs w:val="22"/>
              </w:rPr>
              <w:t xml:space="preserve"> </w:t>
            </w:r>
            <w:proofErr w:type="spellStart"/>
            <w:r>
              <w:rPr>
                <w:rFonts w:ascii="Arial Narrow" w:hAnsi="Arial Narrow"/>
                <w:b/>
                <w:bCs/>
                <w:sz w:val="22"/>
                <w:szCs w:val="22"/>
              </w:rPr>
              <w:t>to</w:t>
            </w:r>
            <w:proofErr w:type="spellEnd"/>
            <w:r>
              <w:rPr>
                <w:rFonts w:ascii="Arial Narrow" w:hAnsi="Arial Narrow"/>
                <w:b/>
                <w:bCs/>
                <w:sz w:val="22"/>
                <w:szCs w:val="22"/>
              </w:rPr>
              <w:t xml:space="preserve"> fixed PEEP </w:t>
            </w:r>
            <w:proofErr w:type="spellStart"/>
            <w:r>
              <w:rPr>
                <w:rFonts w:ascii="Arial Narrow" w:hAnsi="Arial Narrow"/>
                <w:b/>
                <w:bCs/>
                <w:sz w:val="22"/>
                <w:szCs w:val="22"/>
              </w:rPr>
              <w:t>for</w:t>
            </w:r>
            <w:proofErr w:type="spellEnd"/>
            <w:r>
              <w:rPr>
                <w:rFonts w:ascii="Arial Narrow" w:hAnsi="Arial Narrow"/>
                <w:b/>
                <w:bCs/>
                <w:sz w:val="22"/>
                <w:szCs w:val="22"/>
              </w:rPr>
              <w:t xml:space="preserve"> </w:t>
            </w:r>
            <w:proofErr w:type="spellStart"/>
            <w:r>
              <w:rPr>
                <w:rFonts w:ascii="Arial Narrow" w:hAnsi="Arial Narrow"/>
                <w:b/>
                <w:bCs/>
                <w:sz w:val="22"/>
                <w:szCs w:val="22"/>
              </w:rPr>
              <w:t>patients</w:t>
            </w:r>
            <w:proofErr w:type="spellEnd"/>
            <w:r>
              <w:rPr>
                <w:rFonts w:ascii="Arial Narrow" w:hAnsi="Arial Narrow"/>
                <w:b/>
                <w:bCs/>
                <w:sz w:val="22"/>
                <w:szCs w:val="22"/>
              </w:rPr>
              <w:t xml:space="preserve"> </w:t>
            </w:r>
            <w:proofErr w:type="spellStart"/>
            <w:r>
              <w:rPr>
                <w:rFonts w:ascii="Arial Narrow" w:hAnsi="Arial Narrow"/>
                <w:b/>
                <w:bCs/>
                <w:sz w:val="22"/>
                <w:szCs w:val="22"/>
              </w:rPr>
              <w:t>undergoing</w:t>
            </w:r>
            <w:proofErr w:type="spellEnd"/>
            <w:r>
              <w:rPr>
                <w:rFonts w:ascii="Arial Narrow" w:hAnsi="Arial Narrow"/>
                <w:b/>
                <w:bCs/>
                <w:sz w:val="22"/>
                <w:szCs w:val="22"/>
              </w:rPr>
              <w:t xml:space="preserve"> </w:t>
            </w:r>
            <w:proofErr w:type="spellStart"/>
            <w:r>
              <w:rPr>
                <w:rFonts w:ascii="Arial Narrow" w:hAnsi="Arial Narrow"/>
                <w:b/>
                <w:bCs/>
                <w:sz w:val="22"/>
                <w:szCs w:val="22"/>
              </w:rPr>
              <w:t>abdominal</w:t>
            </w:r>
            <w:proofErr w:type="spellEnd"/>
            <w:r>
              <w:rPr>
                <w:rFonts w:ascii="Arial Narrow" w:hAnsi="Arial Narrow"/>
                <w:b/>
                <w:bCs/>
                <w:sz w:val="22"/>
                <w:szCs w:val="22"/>
              </w:rPr>
              <w:t xml:space="preserve"> </w:t>
            </w:r>
            <w:proofErr w:type="spellStart"/>
            <w:r>
              <w:rPr>
                <w:rFonts w:ascii="Arial Narrow" w:hAnsi="Arial Narrow"/>
                <w:b/>
                <w:bCs/>
                <w:sz w:val="22"/>
                <w:szCs w:val="22"/>
              </w:rPr>
              <w:t>surgery</w:t>
            </w:r>
            <w:proofErr w:type="spellEnd"/>
          </w:p>
        </w:tc>
      </w:tr>
      <w:tr w:rsidR="009F5320" w14:paraId="5008DD2A" w14:textId="77777777" w:rsidTr="00350225">
        <w:trPr>
          <w:cantSplit/>
          <w:tblHeader/>
        </w:trPr>
        <w:tc>
          <w:tcPr>
            <w:tcW w:w="5000" w:type="pct"/>
            <w:gridSpan w:val="7"/>
            <w:tcBorders>
              <w:top w:val="single" w:sz="12" w:space="0" w:color="000000"/>
              <w:left w:val="nil"/>
              <w:bottom w:val="single" w:sz="12" w:space="0" w:color="000000"/>
              <w:right w:val="nil"/>
            </w:tcBorders>
            <w:vAlign w:val="center"/>
            <w:hideMark/>
          </w:tcPr>
          <w:p w14:paraId="43626881" w14:textId="77777777" w:rsidR="009F5320" w:rsidRDefault="009F5320" w:rsidP="00350225">
            <w:pPr>
              <w:rPr>
                <w:rFonts w:ascii="Arial Narrow" w:hAnsi="Arial Narrow"/>
                <w:sz w:val="16"/>
                <w:szCs w:val="16"/>
              </w:rPr>
            </w:pPr>
            <w:proofErr w:type="spellStart"/>
            <w:r>
              <w:rPr>
                <w:rFonts w:ascii="Arial Narrow" w:hAnsi="Arial Narrow"/>
                <w:b/>
                <w:bCs/>
                <w:sz w:val="16"/>
                <w:szCs w:val="16"/>
              </w:rPr>
              <w:t>Patient</w:t>
            </w:r>
            <w:proofErr w:type="spellEnd"/>
            <w:r>
              <w:rPr>
                <w:rFonts w:ascii="Arial Narrow" w:hAnsi="Arial Narrow"/>
                <w:b/>
                <w:bCs/>
                <w:sz w:val="16"/>
                <w:szCs w:val="16"/>
              </w:rPr>
              <w:t xml:space="preserve"> </w:t>
            </w:r>
            <w:proofErr w:type="spellStart"/>
            <w:r>
              <w:rPr>
                <w:rFonts w:ascii="Arial Narrow" w:hAnsi="Arial Narrow"/>
                <w:b/>
                <w:bCs/>
                <w:sz w:val="16"/>
                <w:szCs w:val="16"/>
              </w:rPr>
              <w:t>or</w:t>
            </w:r>
            <w:proofErr w:type="spellEnd"/>
            <w:r>
              <w:rPr>
                <w:rFonts w:ascii="Arial Narrow" w:hAnsi="Arial Narrow"/>
                <w:b/>
                <w:bCs/>
                <w:sz w:val="16"/>
                <w:szCs w:val="16"/>
              </w:rPr>
              <w:t xml:space="preserve"> </w:t>
            </w:r>
            <w:proofErr w:type="spellStart"/>
            <w:r>
              <w:rPr>
                <w:rFonts w:ascii="Arial Narrow" w:hAnsi="Arial Narrow"/>
                <w:b/>
                <w:bCs/>
                <w:sz w:val="16"/>
                <w:szCs w:val="16"/>
              </w:rPr>
              <w:t>population</w:t>
            </w:r>
            <w:proofErr w:type="spellEnd"/>
            <w:r>
              <w:rPr>
                <w:rFonts w:ascii="Arial Narrow" w:hAnsi="Arial Narrow"/>
                <w:b/>
                <w:bCs/>
                <w:sz w:val="16"/>
                <w:szCs w:val="16"/>
              </w:rPr>
              <w:t xml:space="preserve">: </w:t>
            </w:r>
            <w:proofErr w:type="spellStart"/>
            <w:r>
              <w:rPr>
                <w:rFonts w:ascii="Arial Narrow" w:hAnsi="Arial Narrow"/>
                <w:sz w:val="16"/>
                <w:szCs w:val="16"/>
              </w:rPr>
              <w:t>patients</w:t>
            </w:r>
            <w:proofErr w:type="spellEnd"/>
            <w:r>
              <w:rPr>
                <w:rFonts w:ascii="Arial Narrow" w:hAnsi="Arial Narrow"/>
                <w:sz w:val="16"/>
                <w:szCs w:val="16"/>
              </w:rPr>
              <w:t xml:space="preserve"> </w:t>
            </w:r>
            <w:proofErr w:type="spellStart"/>
            <w:r>
              <w:rPr>
                <w:rFonts w:ascii="Arial Narrow" w:hAnsi="Arial Narrow"/>
                <w:sz w:val="16"/>
                <w:szCs w:val="16"/>
              </w:rPr>
              <w:t>undergoing</w:t>
            </w:r>
            <w:proofErr w:type="spellEnd"/>
            <w:r>
              <w:rPr>
                <w:rFonts w:ascii="Arial Narrow" w:hAnsi="Arial Narrow"/>
                <w:sz w:val="16"/>
                <w:szCs w:val="16"/>
              </w:rPr>
              <w:t xml:space="preserve"> </w:t>
            </w:r>
            <w:proofErr w:type="spellStart"/>
            <w:r>
              <w:rPr>
                <w:rFonts w:ascii="Arial Narrow" w:hAnsi="Arial Narrow"/>
                <w:sz w:val="16"/>
                <w:szCs w:val="16"/>
              </w:rPr>
              <w:t>abdominal</w:t>
            </w:r>
            <w:proofErr w:type="spellEnd"/>
            <w:r>
              <w:rPr>
                <w:rFonts w:ascii="Arial Narrow" w:hAnsi="Arial Narrow"/>
                <w:sz w:val="16"/>
                <w:szCs w:val="16"/>
              </w:rPr>
              <w:t xml:space="preserve"> </w:t>
            </w:r>
            <w:proofErr w:type="spellStart"/>
            <w:r>
              <w:rPr>
                <w:rFonts w:ascii="Arial Narrow" w:hAnsi="Arial Narrow"/>
                <w:sz w:val="16"/>
                <w:szCs w:val="16"/>
              </w:rPr>
              <w:t>surgery</w:t>
            </w:r>
            <w:proofErr w:type="spellEnd"/>
          </w:p>
          <w:p w14:paraId="315007DD" w14:textId="77777777" w:rsidR="009F5320" w:rsidRDefault="009F5320" w:rsidP="00350225">
            <w:pPr>
              <w:rPr>
                <w:rFonts w:ascii="Arial Narrow" w:hAnsi="Arial Narrow"/>
                <w:sz w:val="16"/>
                <w:szCs w:val="16"/>
              </w:rPr>
            </w:pPr>
            <w:proofErr w:type="spellStart"/>
            <w:r>
              <w:rPr>
                <w:rFonts w:ascii="Arial Narrow" w:hAnsi="Arial Narrow"/>
                <w:b/>
                <w:bCs/>
                <w:sz w:val="16"/>
                <w:szCs w:val="16"/>
              </w:rPr>
              <w:t>Intervention</w:t>
            </w:r>
            <w:proofErr w:type="spellEnd"/>
            <w:r>
              <w:rPr>
                <w:rFonts w:ascii="Arial Narrow" w:hAnsi="Arial Narrow"/>
                <w:b/>
                <w:bCs/>
                <w:sz w:val="16"/>
                <w:szCs w:val="16"/>
              </w:rPr>
              <w:t xml:space="preserve">: </w:t>
            </w:r>
            <w:proofErr w:type="spellStart"/>
            <w:r>
              <w:rPr>
                <w:rFonts w:ascii="Arial Narrow" w:hAnsi="Arial Narrow"/>
                <w:sz w:val="16"/>
                <w:szCs w:val="16"/>
              </w:rPr>
              <w:t>individualized</w:t>
            </w:r>
            <w:proofErr w:type="spellEnd"/>
            <w:r>
              <w:rPr>
                <w:rFonts w:ascii="Arial Narrow" w:hAnsi="Arial Narrow"/>
                <w:sz w:val="16"/>
                <w:szCs w:val="16"/>
              </w:rPr>
              <w:t xml:space="preserve"> PEEP</w:t>
            </w:r>
          </w:p>
          <w:p w14:paraId="664A6B72" w14:textId="77777777" w:rsidR="009F5320" w:rsidRDefault="009F5320" w:rsidP="00350225">
            <w:pPr>
              <w:rPr>
                <w:rFonts w:ascii="Arial Narrow" w:hAnsi="Arial Narrow"/>
                <w:sz w:val="16"/>
                <w:szCs w:val="16"/>
              </w:rPr>
            </w:pPr>
            <w:proofErr w:type="spellStart"/>
            <w:r>
              <w:rPr>
                <w:rFonts w:ascii="Arial Narrow" w:hAnsi="Arial Narrow"/>
                <w:b/>
                <w:bCs/>
                <w:sz w:val="16"/>
                <w:szCs w:val="16"/>
              </w:rPr>
              <w:t>Comparison</w:t>
            </w:r>
            <w:proofErr w:type="spellEnd"/>
            <w:r>
              <w:rPr>
                <w:rFonts w:ascii="Arial Narrow" w:hAnsi="Arial Narrow"/>
                <w:b/>
                <w:bCs/>
                <w:sz w:val="16"/>
                <w:szCs w:val="16"/>
              </w:rPr>
              <w:t xml:space="preserve">: </w:t>
            </w:r>
            <w:r>
              <w:rPr>
                <w:rFonts w:ascii="Arial Narrow" w:hAnsi="Arial Narrow"/>
                <w:sz w:val="16"/>
                <w:szCs w:val="16"/>
              </w:rPr>
              <w:t>fixed PEEP</w:t>
            </w:r>
          </w:p>
        </w:tc>
      </w:tr>
      <w:tr w:rsidR="009F5320" w14:paraId="04FE9370" w14:textId="77777777" w:rsidTr="009F5320">
        <w:trPr>
          <w:cantSplit/>
          <w:tblHeader/>
        </w:trPr>
        <w:tc>
          <w:tcPr>
            <w:tcW w:w="770" w:type="pct"/>
            <w:vMerge w:val="restart"/>
            <w:tcBorders>
              <w:right w:val="single" w:sz="6" w:space="0" w:color="EFEFEF"/>
            </w:tcBorders>
            <w:shd w:val="clear" w:color="auto" w:fill="3271AA"/>
            <w:vAlign w:val="bottom"/>
            <w:hideMark/>
          </w:tcPr>
          <w:p w14:paraId="7F196B8C" w14:textId="77777777" w:rsidR="009F5320" w:rsidRDefault="009F5320" w:rsidP="00350225">
            <w:pPr>
              <w:pStyle w:val="NormalWeb"/>
              <w:spacing w:before="0" w:beforeAutospacing="0" w:after="0" w:afterAutospacing="0"/>
              <w:jc w:val="center"/>
              <w:rPr>
                <w:rFonts w:ascii="Arial Narrow" w:hAnsi="Arial Narrow"/>
                <w:color w:val="FFFFFF"/>
                <w:sz w:val="16"/>
                <w:szCs w:val="16"/>
              </w:rPr>
            </w:pPr>
            <w:proofErr w:type="spellStart"/>
            <w:r>
              <w:rPr>
                <w:rFonts w:ascii="Arial Narrow" w:hAnsi="Arial Narrow"/>
                <w:color w:val="FFFFFF"/>
                <w:sz w:val="16"/>
                <w:szCs w:val="16"/>
              </w:rPr>
              <w:t>Outcomes</w:t>
            </w:r>
            <w:proofErr w:type="spellEnd"/>
          </w:p>
        </w:tc>
        <w:tc>
          <w:tcPr>
            <w:tcW w:w="1178" w:type="pct"/>
            <w:gridSpan w:val="2"/>
            <w:tcBorders>
              <w:top w:val="single" w:sz="6" w:space="0" w:color="EFEFEF"/>
              <w:right w:val="single" w:sz="6" w:space="0" w:color="EFEFEF"/>
            </w:tcBorders>
            <w:shd w:val="clear" w:color="auto" w:fill="E0E0E0"/>
            <w:vAlign w:val="bottom"/>
            <w:hideMark/>
          </w:tcPr>
          <w:p w14:paraId="0D3FCB28" w14:textId="77777777" w:rsidR="009F5320" w:rsidRDefault="009F5320" w:rsidP="00350225">
            <w:pPr>
              <w:pStyle w:val="NormalWeb"/>
              <w:spacing w:before="0" w:beforeAutospacing="0" w:after="0" w:afterAutospacing="0"/>
              <w:jc w:val="center"/>
              <w:rPr>
                <w:rFonts w:ascii="Arial Narrow" w:hAnsi="Arial Narrow"/>
                <w:b/>
                <w:bCs/>
                <w:sz w:val="16"/>
                <w:szCs w:val="16"/>
              </w:rPr>
            </w:pPr>
            <w:proofErr w:type="spellStart"/>
            <w:r>
              <w:rPr>
                <w:rFonts w:ascii="Arial Narrow" w:hAnsi="Arial Narrow"/>
                <w:b/>
                <w:bCs/>
                <w:sz w:val="16"/>
                <w:szCs w:val="16"/>
              </w:rPr>
              <w:t>Anticipated</w:t>
            </w:r>
            <w:proofErr w:type="spellEnd"/>
            <w:r>
              <w:rPr>
                <w:rFonts w:ascii="Arial Narrow" w:hAnsi="Arial Narrow"/>
                <w:b/>
                <w:bCs/>
                <w:sz w:val="16"/>
                <w:szCs w:val="16"/>
              </w:rPr>
              <w:t xml:space="preserve"> </w:t>
            </w:r>
            <w:proofErr w:type="spellStart"/>
            <w:r>
              <w:rPr>
                <w:rFonts w:ascii="Arial Narrow" w:hAnsi="Arial Narrow"/>
                <w:b/>
                <w:bCs/>
                <w:sz w:val="16"/>
                <w:szCs w:val="16"/>
              </w:rPr>
              <w:t>absolute</w:t>
            </w:r>
            <w:proofErr w:type="spellEnd"/>
            <w:r>
              <w:rPr>
                <w:rFonts w:ascii="Arial Narrow" w:hAnsi="Arial Narrow"/>
                <w:b/>
                <w:bCs/>
                <w:sz w:val="16"/>
                <w:szCs w:val="16"/>
              </w:rPr>
              <w:t xml:space="preserve"> </w:t>
            </w:r>
            <w:proofErr w:type="spellStart"/>
            <w:r>
              <w:rPr>
                <w:rFonts w:ascii="Arial Narrow" w:hAnsi="Arial Narrow"/>
                <w:b/>
                <w:bCs/>
                <w:sz w:val="16"/>
                <w:szCs w:val="16"/>
              </w:rPr>
              <w:t>effects</w:t>
            </w:r>
            <w:proofErr w:type="spellEnd"/>
            <w:r>
              <w:rPr>
                <w:rFonts w:ascii="Arial Narrow" w:hAnsi="Arial Narrow"/>
                <w:b/>
                <w:bCs/>
                <w:sz w:val="16"/>
                <w:szCs w:val="16"/>
                <w:vertAlign w:val="superscript"/>
              </w:rPr>
              <w:t>*</w:t>
            </w:r>
            <w:r>
              <w:rPr>
                <w:rFonts w:ascii="Arial Narrow" w:hAnsi="Arial Narrow"/>
                <w:b/>
                <w:bCs/>
                <w:sz w:val="16"/>
                <w:szCs w:val="16"/>
              </w:rPr>
              <w:t xml:space="preserve"> </w:t>
            </w:r>
            <w:r>
              <w:rPr>
                <w:rFonts w:ascii="Arial Narrow" w:hAnsi="Arial Narrow"/>
                <w:sz w:val="16"/>
                <w:szCs w:val="16"/>
              </w:rPr>
              <w:t>(95% CI)</w:t>
            </w:r>
          </w:p>
        </w:tc>
        <w:tc>
          <w:tcPr>
            <w:tcW w:w="589" w:type="pct"/>
            <w:vMerge w:val="restart"/>
            <w:tcBorders>
              <w:right w:val="single" w:sz="6" w:space="0" w:color="EFEFEF"/>
            </w:tcBorders>
            <w:shd w:val="clear" w:color="auto" w:fill="3271AA"/>
            <w:vAlign w:val="bottom"/>
            <w:hideMark/>
          </w:tcPr>
          <w:p w14:paraId="63616338" w14:textId="77777777" w:rsidR="009F5320" w:rsidRDefault="009F5320" w:rsidP="00350225">
            <w:pPr>
              <w:pStyle w:val="NormalWeb"/>
              <w:spacing w:before="0" w:beforeAutospacing="0" w:after="0" w:afterAutospacing="0"/>
              <w:jc w:val="center"/>
              <w:rPr>
                <w:rFonts w:ascii="Arial Narrow" w:hAnsi="Arial Narrow"/>
                <w:color w:val="FFFFFF"/>
                <w:sz w:val="16"/>
                <w:szCs w:val="16"/>
              </w:rPr>
            </w:pPr>
            <w:proofErr w:type="spellStart"/>
            <w:r>
              <w:rPr>
                <w:rFonts w:ascii="Arial Narrow" w:hAnsi="Arial Narrow"/>
                <w:color w:val="FFFFFF"/>
                <w:sz w:val="16"/>
                <w:szCs w:val="16"/>
              </w:rPr>
              <w:t>Relative</w:t>
            </w:r>
            <w:proofErr w:type="spellEnd"/>
            <w:r>
              <w:rPr>
                <w:rFonts w:ascii="Arial Narrow" w:hAnsi="Arial Narrow"/>
                <w:color w:val="FFFFFF"/>
                <w:sz w:val="16"/>
                <w:szCs w:val="16"/>
              </w:rPr>
              <w:t xml:space="preserve"> </w:t>
            </w:r>
            <w:proofErr w:type="spellStart"/>
            <w:r>
              <w:rPr>
                <w:rFonts w:ascii="Arial Narrow" w:hAnsi="Arial Narrow"/>
                <w:color w:val="FFFFFF"/>
                <w:sz w:val="16"/>
                <w:szCs w:val="16"/>
              </w:rPr>
              <w:t>effect</w:t>
            </w:r>
            <w:proofErr w:type="spellEnd"/>
            <w:r>
              <w:rPr>
                <w:rFonts w:ascii="Arial Narrow" w:hAnsi="Arial Narrow"/>
                <w:color w:val="FFFFFF"/>
                <w:sz w:val="16"/>
                <w:szCs w:val="16"/>
              </w:rPr>
              <w:br/>
              <w:t>(95% CI)</w:t>
            </w:r>
          </w:p>
        </w:tc>
        <w:tc>
          <w:tcPr>
            <w:tcW w:w="589" w:type="pct"/>
            <w:vMerge w:val="restart"/>
            <w:tcBorders>
              <w:right w:val="single" w:sz="6" w:space="0" w:color="EFEFEF"/>
            </w:tcBorders>
            <w:shd w:val="clear" w:color="auto" w:fill="3271AA"/>
            <w:vAlign w:val="bottom"/>
            <w:hideMark/>
          </w:tcPr>
          <w:p w14:paraId="2A284332" w14:textId="77777777" w:rsidR="009F5320" w:rsidRDefault="009F5320" w:rsidP="00350225">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 xml:space="preserve">№ of </w:t>
            </w:r>
            <w:proofErr w:type="spellStart"/>
            <w:r>
              <w:rPr>
                <w:rFonts w:ascii="Arial Narrow" w:hAnsi="Arial Narrow"/>
                <w:color w:val="FFFFFF"/>
                <w:sz w:val="16"/>
                <w:szCs w:val="16"/>
              </w:rPr>
              <w:t>participants</w:t>
            </w:r>
            <w:proofErr w:type="spellEnd"/>
            <w:r>
              <w:rPr>
                <w:rFonts w:ascii="Arial Narrow" w:hAnsi="Arial Narrow"/>
                <w:color w:val="FFFFFF"/>
                <w:sz w:val="16"/>
                <w:szCs w:val="16"/>
              </w:rPr>
              <w:br/>
              <w:t>(</w:t>
            </w:r>
            <w:proofErr w:type="spellStart"/>
            <w:r>
              <w:rPr>
                <w:rFonts w:ascii="Arial Narrow" w:hAnsi="Arial Narrow"/>
                <w:color w:val="FFFFFF"/>
                <w:sz w:val="16"/>
                <w:szCs w:val="16"/>
              </w:rPr>
              <w:t>studies</w:t>
            </w:r>
            <w:proofErr w:type="spellEnd"/>
            <w:r>
              <w:rPr>
                <w:rFonts w:ascii="Arial Narrow" w:hAnsi="Arial Narrow"/>
                <w:color w:val="FFFFFF"/>
                <w:sz w:val="16"/>
                <w:szCs w:val="16"/>
              </w:rPr>
              <w:t>)</w:t>
            </w:r>
          </w:p>
        </w:tc>
        <w:tc>
          <w:tcPr>
            <w:tcW w:w="581" w:type="pct"/>
            <w:vMerge w:val="restart"/>
            <w:tcBorders>
              <w:right w:val="single" w:sz="6" w:space="0" w:color="EFEFEF"/>
            </w:tcBorders>
            <w:shd w:val="clear" w:color="auto" w:fill="3271AA"/>
            <w:vAlign w:val="bottom"/>
            <w:hideMark/>
          </w:tcPr>
          <w:p w14:paraId="65A6A58F" w14:textId="77777777" w:rsidR="009F5320" w:rsidRDefault="009F5320" w:rsidP="00350225">
            <w:pPr>
              <w:pStyle w:val="NormalWeb"/>
              <w:spacing w:before="0" w:beforeAutospacing="0" w:after="0" w:afterAutospacing="0"/>
              <w:jc w:val="center"/>
              <w:rPr>
                <w:rFonts w:ascii="Arial Narrow" w:hAnsi="Arial Narrow"/>
                <w:color w:val="FFFFFF"/>
                <w:sz w:val="16"/>
                <w:szCs w:val="16"/>
              </w:rPr>
            </w:pPr>
            <w:proofErr w:type="spellStart"/>
            <w:r>
              <w:rPr>
                <w:rFonts w:ascii="Arial Narrow" w:hAnsi="Arial Narrow"/>
                <w:color w:val="FFFFFF"/>
                <w:sz w:val="16"/>
                <w:szCs w:val="16"/>
              </w:rPr>
              <w:t>Certainty</w:t>
            </w:r>
            <w:proofErr w:type="spellEnd"/>
            <w:r>
              <w:rPr>
                <w:rFonts w:ascii="Arial Narrow" w:hAnsi="Arial Narrow"/>
                <w:color w:val="FFFFFF"/>
                <w:sz w:val="16"/>
                <w:szCs w:val="16"/>
              </w:rPr>
              <w:t xml:space="preserve"> of </w:t>
            </w:r>
            <w:proofErr w:type="spellStart"/>
            <w:r>
              <w:rPr>
                <w:rFonts w:ascii="Arial Narrow" w:hAnsi="Arial Narrow"/>
                <w:color w:val="FFFFFF"/>
                <w:sz w:val="16"/>
                <w:szCs w:val="16"/>
              </w:rPr>
              <w:t>the</w:t>
            </w:r>
            <w:proofErr w:type="spellEnd"/>
            <w:r>
              <w:rPr>
                <w:rFonts w:ascii="Arial Narrow" w:hAnsi="Arial Narrow"/>
                <w:color w:val="FFFFFF"/>
                <w:sz w:val="16"/>
                <w:szCs w:val="16"/>
              </w:rPr>
              <w:t xml:space="preserve"> </w:t>
            </w:r>
            <w:proofErr w:type="spellStart"/>
            <w:r>
              <w:rPr>
                <w:rFonts w:ascii="Arial Narrow" w:hAnsi="Arial Narrow"/>
                <w:color w:val="FFFFFF"/>
                <w:sz w:val="16"/>
                <w:szCs w:val="16"/>
              </w:rPr>
              <w:t>evidence</w:t>
            </w:r>
            <w:proofErr w:type="spellEnd"/>
            <w:r>
              <w:rPr>
                <w:rFonts w:ascii="Arial Narrow" w:hAnsi="Arial Narrow"/>
                <w:color w:val="FFFFFF"/>
                <w:sz w:val="16"/>
                <w:szCs w:val="16"/>
              </w:rPr>
              <w:br/>
              <w:t>(GRADE)</w:t>
            </w:r>
          </w:p>
        </w:tc>
        <w:tc>
          <w:tcPr>
            <w:tcW w:w="1292" w:type="pct"/>
            <w:vMerge w:val="restart"/>
            <w:tcBorders>
              <w:right w:val="single" w:sz="6" w:space="0" w:color="EFEFEF"/>
            </w:tcBorders>
            <w:shd w:val="clear" w:color="auto" w:fill="3271AA"/>
            <w:vAlign w:val="bottom"/>
            <w:hideMark/>
          </w:tcPr>
          <w:p w14:paraId="452A5B55" w14:textId="77777777" w:rsidR="009F5320" w:rsidRDefault="009F5320" w:rsidP="00350225">
            <w:pPr>
              <w:pStyle w:val="NormalWeb"/>
              <w:spacing w:before="0" w:beforeAutospacing="0" w:after="0" w:afterAutospacing="0"/>
              <w:jc w:val="center"/>
              <w:rPr>
                <w:rFonts w:ascii="Arial Narrow" w:hAnsi="Arial Narrow"/>
                <w:color w:val="FFFFFF"/>
                <w:sz w:val="16"/>
                <w:szCs w:val="16"/>
              </w:rPr>
            </w:pPr>
            <w:proofErr w:type="spellStart"/>
            <w:r>
              <w:rPr>
                <w:rFonts w:ascii="Arial Narrow" w:hAnsi="Arial Narrow"/>
                <w:color w:val="FFFFFF"/>
                <w:sz w:val="16"/>
                <w:szCs w:val="16"/>
              </w:rPr>
              <w:t>Comments</w:t>
            </w:r>
            <w:proofErr w:type="spellEnd"/>
          </w:p>
        </w:tc>
      </w:tr>
      <w:tr w:rsidR="009F5320" w14:paraId="1DBD86C1" w14:textId="77777777" w:rsidTr="009F5320">
        <w:trPr>
          <w:cantSplit/>
          <w:tblHeader/>
        </w:trPr>
        <w:tc>
          <w:tcPr>
            <w:tcW w:w="770" w:type="pct"/>
            <w:vMerge/>
            <w:tcBorders>
              <w:right w:val="single" w:sz="6" w:space="0" w:color="EFEFEF"/>
            </w:tcBorders>
            <w:vAlign w:val="center"/>
            <w:hideMark/>
          </w:tcPr>
          <w:p w14:paraId="356AF512" w14:textId="77777777" w:rsidR="009F5320" w:rsidRDefault="009F5320" w:rsidP="00350225">
            <w:pPr>
              <w:rPr>
                <w:rFonts w:ascii="Arial Narrow" w:eastAsiaTheme="minorEastAsia" w:hAnsi="Arial Narrow"/>
                <w:color w:val="FFFFFF"/>
                <w:sz w:val="16"/>
                <w:szCs w:val="16"/>
              </w:rPr>
            </w:pPr>
          </w:p>
        </w:tc>
        <w:tc>
          <w:tcPr>
            <w:tcW w:w="589" w:type="pct"/>
            <w:tcBorders>
              <w:top w:val="single" w:sz="6" w:space="0" w:color="EFEFEF"/>
              <w:right w:val="single" w:sz="6" w:space="0" w:color="EFEFEF"/>
            </w:tcBorders>
            <w:shd w:val="clear" w:color="auto" w:fill="E0E0E0"/>
            <w:vAlign w:val="bottom"/>
            <w:hideMark/>
          </w:tcPr>
          <w:p w14:paraId="63489505" w14:textId="77777777" w:rsidR="009F5320" w:rsidRDefault="009F5320" w:rsidP="00350225">
            <w:pPr>
              <w:pStyle w:val="first-letter"/>
              <w:spacing w:before="0" w:beforeAutospacing="0" w:after="0" w:afterAutospacing="0"/>
              <w:jc w:val="center"/>
              <w:rPr>
                <w:rFonts w:ascii="Arial Narrow" w:hAnsi="Arial Narrow"/>
                <w:b/>
                <w:bCs/>
                <w:sz w:val="16"/>
                <w:szCs w:val="16"/>
              </w:rPr>
            </w:pPr>
            <w:proofErr w:type="spellStart"/>
            <w:r>
              <w:rPr>
                <w:rFonts w:ascii="Arial Narrow" w:hAnsi="Arial Narrow"/>
                <w:b/>
                <w:bCs/>
                <w:sz w:val="16"/>
                <w:szCs w:val="16"/>
              </w:rPr>
              <w:t>Risk</w:t>
            </w:r>
            <w:proofErr w:type="spellEnd"/>
            <w:r>
              <w:rPr>
                <w:rFonts w:ascii="Arial Narrow" w:hAnsi="Arial Narrow"/>
                <w:b/>
                <w:bCs/>
                <w:sz w:val="16"/>
                <w:szCs w:val="16"/>
              </w:rPr>
              <w:t xml:space="preserve"> </w:t>
            </w:r>
            <w:proofErr w:type="spellStart"/>
            <w:r>
              <w:rPr>
                <w:rFonts w:ascii="Arial Narrow" w:hAnsi="Arial Narrow"/>
                <w:b/>
                <w:bCs/>
                <w:sz w:val="16"/>
                <w:szCs w:val="16"/>
              </w:rPr>
              <w:t>with</w:t>
            </w:r>
            <w:proofErr w:type="spellEnd"/>
            <w:r>
              <w:rPr>
                <w:rFonts w:ascii="Arial Narrow" w:hAnsi="Arial Narrow"/>
                <w:b/>
                <w:bCs/>
                <w:sz w:val="16"/>
                <w:szCs w:val="16"/>
              </w:rPr>
              <w:t xml:space="preserve"> fixed PEEP</w:t>
            </w:r>
          </w:p>
        </w:tc>
        <w:tc>
          <w:tcPr>
            <w:tcW w:w="589" w:type="pct"/>
            <w:tcBorders>
              <w:top w:val="single" w:sz="6" w:space="0" w:color="EFEFEF"/>
              <w:right w:val="single" w:sz="6" w:space="0" w:color="EFEFEF"/>
            </w:tcBorders>
            <w:shd w:val="clear" w:color="auto" w:fill="E0E0E0"/>
            <w:vAlign w:val="bottom"/>
            <w:hideMark/>
          </w:tcPr>
          <w:p w14:paraId="7289C6B7" w14:textId="77777777" w:rsidR="009F5320" w:rsidRDefault="009F5320" w:rsidP="00350225">
            <w:pPr>
              <w:pStyle w:val="first-letter"/>
              <w:spacing w:before="0" w:beforeAutospacing="0" w:after="0" w:afterAutospacing="0"/>
              <w:jc w:val="center"/>
              <w:rPr>
                <w:rFonts w:ascii="Arial Narrow" w:hAnsi="Arial Narrow"/>
                <w:b/>
                <w:bCs/>
                <w:sz w:val="16"/>
                <w:szCs w:val="16"/>
              </w:rPr>
            </w:pPr>
            <w:proofErr w:type="spellStart"/>
            <w:r>
              <w:rPr>
                <w:rFonts w:ascii="Arial Narrow" w:hAnsi="Arial Narrow"/>
                <w:b/>
                <w:bCs/>
                <w:sz w:val="16"/>
                <w:szCs w:val="16"/>
              </w:rPr>
              <w:t>Risk</w:t>
            </w:r>
            <w:proofErr w:type="spellEnd"/>
            <w:r>
              <w:rPr>
                <w:rFonts w:ascii="Arial Narrow" w:hAnsi="Arial Narrow"/>
                <w:b/>
                <w:bCs/>
                <w:sz w:val="16"/>
                <w:szCs w:val="16"/>
              </w:rPr>
              <w:t xml:space="preserve"> </w:t>
            </w:r>
            <w:proofErr w:type="spellStart"/>
            <w:r>
              <w:rPr>
                <w:rFonts w:ascii="Arial Narrow" w:hAnsi="Arial Narrow"/>
                <w:b/>
                <w:bCs/>
                <w:sz w:val="16"/>
                <w:szCs w:val="16"/>
              </w:rPr>
              <w:t>with</w:t>
            </w:r>
            <w:proofErr w:type="spellEnd"/>
            <w:r>
              <w:rPr>
                <w:rFonts w:ascii="Arial Narrow" w:hAnsi="Arial Narrow"/>
                <w:b/>
                <w:bCs/>
                <w:sz w:val="16"/>
                <w:szCs w:val="16"/>
              </w:rPr>
              <w:t xml:space="preserve"> </w:t>
            </w:r>
            <w:proofErr w:type="spellStart"/>
            <w:r>
              <w:rPr>
                <w:rFonts w:ascii="Arial Narrow" w:hAnsi="Arial Narrow"/>
                <w:b/>
                <w:bCs/>
                <w:sz w:val="16"/>
                <w:szCs w:val="16"/>
              </w:rPr>
              <w:t>individualized</w:t>
            </w:r>
            <w:proofErr w:type="spellEnd"/>
            <w:r>
              <w:rPr>
                <w:rFonts w:ascii="Arial Narrow" w:hAnsi="Arial Narrow"/>
                <w:b/>
                <w:bCs/>
                <w:sz w:val="16"/>
                <w:szCs w:val="16"/>
              </w:rPr>
              <w:t xml:space="preserve"> PEEP</w:t>
            </w:r>
          </w:p>
        </w:tc>
        <w:tc>
          <w:tcPr>
            <w:tcW w:w="589" w:type="pct"/>
            <w:vMerge/>
            <w:tcBorders>
              <w:right w:val="single" w:sz="6" w:space="0" w:color="EFEFEF"/>
            </w:tcBorders>
            <w:vAlign w:val="center"/>
            <w:hideMark/>
          </w:tcPr>
          <w:p w14:paraId="2A995BE2" w14:textId="77777777" w:rsidR="009F5320" w:rsidRDefault="009F5320" w:rsidP="00350225">
            <w:pPr>
              <w:rPr>
                <w:rFonts w:ascii="Arial Narrow" w:eastAsiaTheme="minorEastAsia" w:hAnsi="Arial Narrow"/>
                <w:color w:val="FFFFFF"/>
                <w:sz w:val="16"/>
                <w:szCs w:val="16"/>
              </w:rPr>
            </w:pPr>
          </w:p>
        </w:tc>
        <w:tc>
          <w:tcPr>
            <w:tcW w:w="589" w:type="pct"/>
            <w:vMerge/>
            <w:tcBorders>
              <w:right w:val="single" w:sz="6" w:space="0" w:color="EFEFEF"/>
            </w:tcBorders>
            <w:vAlign w:val="center"/>
            <w:hideMark/>
          </w:tcPr>
          <w:p w14:paraId="5866BB40" w14:textId="77777777" w:rsidR="009F5320" w:rsidRDefault="009F5320" w:rsidP="00350225">
            <w:pPr>
              <w:rPr>
                <w:rFonts w:ascii="Arial Narrow" w:eastAsiaTheme="minorEastAsia" w:hAnsi="Arial Narrow"/>
                <w:color w:val="FFFFFF"/>
                <w:sz w:val="16"/>
                <w:szCs w:val="16"/>
              </w:rPr>
            </w:pPr>
          </w:p>
        </w:tc>
        <w:tc>
          <w:tcPr>
            <w:tcW w:w="581" w:type="pct"/>
            <w:vMerge/>
            <w:tcBorders>
              <w:right w:val="single" w:sz="6" w:space="0" w:color="EFEFEF"/>
            </w:tcBorders>
            <w:vAlign w:val="center"/>
            <w:hideMark/>
          </w:tcPr>
          <w:p w14:paraId="782A7165" w14:textId="77777777" w:rsidR="009F5320" w:rsidRDefault="009F5320" w:rsidP="00350225">
            <w:pPr>
              <w:rPr>
                <w:rFonts w:ascii="Arial Narrow" w:eastAsiaTheme="minorEastAsia" w:hAnsi="Arial Narrow"/>
                <w:color w:val="FFFFFF"/>
                <w:sz w:val="16"/>
                <w:szCs w:val="16"/>
              </w:rPr>
            </w:pPr>
          </w:p>
        </w:tc>
        <w:tc>
          <w:tcPr>
            <w:tcW w:w="1292" w:type="pct"/>
            <w:vMerge/>
            <w:tcBorders>
              <w:right w:val="single" w:sz="6" w:space="0" w:color="EFEFEF"/>
            </w:tcBorders>
            <w:vAlign w:val="center"/>
            <w:hideMark/>
          </w:tcPr>
          <w:p w14:paraId="0F4D2628" w14:textId="77777777" w:rsidR="009F5320" w:rsidRDefault="009F5320" w:rsidP="00350225">
            <w:pPr>
              <w:rPr>
                <w:rFonts w:ascii="Arial Narrow" w:eastAsiaTheme="minorEastAsia" w:hAnsi="Arial Narrow"/>
                <w:color w:val="FFFFFF"/>
                <w:sz w:val="16"/>
                <w:szCs w:val="16"/>
              </w:rPr>
            </w:pPr>
          </w:p>
        </w:tc>
      </w:tr>
      <w:tr w:rsidR="009F5320" w14:paraId="5594BF7C" w14:textId="77777777" w:rsidTr="009F5320">
        <w:trPr>
          <w:cantSplit/>
        </w:trPr>
        <w:tc>
          <w:tcPr>
            <w:tcW w:w="770" w:type="pct"/>
            <w:tcBorders>
              <w:top w:val="single" w:sz="6" w:space="0" w:color="000000"/>
              <w:left w:val="nil"/>
              <w:bottom w:val="single" w:sz="6" w:space="0" w:color="000000"/>
              <w:right w:val="nil"/>
            </w:tcBorders>
            <w:vAlign w:val="center"/>
            <w:hideMark/>
          </w:tcPr>
          <w:p w14:paraId="0AE752C3" w14:textId="77777777" w:rsidR="009F5320" w:rsidRDefault="009F5320" w:rsidP="00350225">
            <w:pPr>
              <w:jc w:val="center"/>
              <w:rPr>
                <w:rFonts w:ascii="Arial Narrow" w:hAnsi="Arial Narrow"/>
                <w:sz w:val="16"/>
                <w:szCs w:val="16"/>
              </w:rPr>
            </w:pPr>
            <w:proofErr w:type="spellStart"/>
            <w:r>
              <w:rPr>
                <w:rStyle w:val="label"/>
                <w:rFonts w:ascii="Arial Narrow" w:hAnsi="Arial Narrow"/>
                <w:sz w:val="18"/>
                <w:szCs w:val="18"/>
              </w:rPr>
              <w:t>Postoperative</w:t>
            </w:r>
            <w:proofErr w:type="spellEnd"/>
            <w:r>
              <w:rPr>
                <w:rStyle w:val="label"/>
                <w:rFonts w:ascii="Arial Narrow" w:hAnsi="Arial Narrow"/>
                <w:sz w:val="18"/>
                <w:szCs w:val="18"/>
              </w:rPr>
              <w:t xml:space="preserve"> </w:t>
            </w:r>
            <w:proofErr w:type="spellStart"/>
            <w:r>
              <w:rPr>
                <w:rStyle w:val="label"/>
                <w:rFonts w:ascii="Arial Narrow" w:hAnsi="Arial Narrow"/>
                <w:sz w:val="18"/>
                <w:szCs w:val="18"/>
              </w:rPr>
              <w:t>pulmonary</w:t>
            </w:r>
            <w:proofErr w:type="spellEnd"/>
            <w:r>
              <w:rPr>
                <w:rStyle w:val="label"/>
                <w:rFonts w:ascii="Arial Narrow" w:hAnsi="Arial Narrow"/>
                <w:sz w:val="18"/>
                <w:szCs w:val="18"/>
              </w:rPr>
              <w:t xml:space="preserve"> </w:t>
            </w:r>
            <w:proofErr w:type="spellStart"/>
            <w:r>
              <w:rPr>
                <w:rStyle w:val="label"/>
                <w:rFonts w:ascii="Arial Narrow" w:hAnsi="Arial Narrow"/>
                <w:sz w:val="18"/>
                <w:szCs w:val="18"/>
              </w:rPr>
              <w:t>complications</w:t>
            </w:r>
            <w:proofErr w:type="spellEnd"/>
            <w:r>
              <w:rPr>
                <w:rStyle w:val="label"/>
                <w:rFonts w:ascii="Arial Narrow" w:hAnsi="Arial Narrow"/>
                <w:sz w:val="18"/>
                <w:szCs w:val="18"/>
              </w:rPr>
              <w:t xml:space="preserve"> (</w:t>
            </w:r>
            <w:proofErr w:type="spellStart"/>
            <w:r>
              <w:rPr>
                <w:rStyle w:val="label"/>
                <w:rFonts w:ascii="Arial Narrow" w:hAnsi="Arial Narrow"/>
                <w:sz w:val="18"/>
                <w:szCs w:val="18"/>
              </w:rPr>
              <w:t>PPCs</w:t>
            </w:r>
            <w:proofErr w:type="spellEnd"/>
            <w:r>
              <w:rPr>
                <w:rStyle w:val="label"/>
                <w:rFonts w:ascii="Arial Narrow" w:hAnsi="Arial Narrow"/>
                <w:sz w:val="18"/>
                <w:szCs w:val="18"/>
              </w:rPr>
              <w:t>)</w:t>
            </w:r>
            <w:r>
              <w:rPr>
                <w:rFonts w:ascii="Arial Narrow" w:hAnsi="Arial Narrow"/>
                <w:sz w:val="18"/>
                <w:szCs w:val="18"/>
              </w:rPr>
              <w:br/>
            </w:r>
            <w:proofErr w:type="spellStart"/>
            <w:r>
              <w:rPr>
                <w:rStyle w:val="label"/>
                <w:rFonts w:ascii="Arial Narrow" w:hAnsi="Arial Narrow"/>
                <w:sz w:val="18"/>
                <w:szCs w:val="18"/>
              </w:rPr>
              <w:t>follow-up</w:t>
            </w:r>
            <w:proofErr w:type="spellEnd"/>
            <w:r>
              <w:rPr>
                <w:rStyle w:val="label"/>
                <w:rFonts w:ascii="Arial Narrow" w:hAnsi="Arial Narrow"/>
                <w:sz w:val="18"/>
                <w:szCs w:val="18"/>
              </w:rPr>
              <w:t xml:space="preserve">: 7 </w:t>
            </w:r>
            <w:proofErr w:type="spellStart"/>
            <w:r>
              <w:rPr>
                <w:rStyle w:val="label"/>
                <w:rFonts w:ascii="Arial Narrow" w:hAnsi="Arial Narrow"/>
                <w:sz w:val="18"/>
                <w:szCs w:val="18"/>
              </w:rPr>
              <w:t>days</w:t>
            </w:r>
            <w:proofErr w:type="spellEnd"/>
          </w:p>
        </w:tc>
        <w:tc>
          <w:tcPr>
            <w:tcW w:w="589" w:type="pct"/>
            <w:tcBorders>
              <w:top w:val="single" w:sz="6" w:space="0" w:color="000000"/>
              <w:left w:val="nil"/>
              <w:bottom w:val="single" w:sz="6" w:space="0" w:color="000000"/>
              <w:right w:val="nil"/>
            </w:tcBorders>
            <w:vAlign w:val="center"/>
            <w:hideMark/>
          </w:tcPr>
          <w:p w14:paraId="675EC29A" w14:textId="77777777" w:rsidR="009F5320" w:rsidRDefault="009F5320" w:rsidP="00350225">
            <w:pPr>
              <w:rPr>
                <w:rFonts w:ascii="Arial Narrow" w:hAnsi="Arial Narrow"/>
                <w:sz w:val="16"/>
                <w:szCs w:val="16"/>
              </w:rPr>
            </w:pPr>
            <w:r>
              <w:rPr>
                <w:rFonts w:ascii="Arial Narrow" w:hAnsi="Arial Narrow"/>
                <w:sz w:val="16"/>
                <w:szCs w:val="16"/>
              </w:rPr>
              <w:t>357 per 1000</w:t>
            </w:r>
          </w:p>
        </w:tc>
        <w:tc>
          <w:tcPr>
            <w:tcW w:w="589" w:type="pct"/>
            <w:tcBorders>
              <w:top w:val="single" w:sz="6" w:space="0" w:color="000000"/>
              <w:left w:val="nil"/>
              <w:bottom w:val="single" w:sz="6" w:space="0" w:color="000000"/>
              <w:right w:val="nil"/>
            </w:tcBorders>
            <w:shd w:val="clear" w:color="auto" w:fill="EBEBEB"/>
            <w:hideMark/>
          </w:tcPr>
          <w:p w14:paraId="395C7DE4" w14:textId="77777777" w:rsidR="009F5320" w:rsidRDefault="009F5320" w:rsidP="00350225">
            <w:pPr>
              <w:jc w:val="center"/>
              <w:rPr>
                <w:rFonts w:ascii="Arial Narrow" w:hAnsi="Arial Narrow"/>
                <w:sz w:val="16"/>
                <w:szCs w:val="16"/>
              </w:rPr>
            </w:pPr>
            <w:r>
              <w:rPr>
                <w:rStyle w:val="cell-value"/>
                <w:rFonts w:ascii="Arial Narrow" w:hAnsi="Arial Narrow"/>
                <w:b/>
                <w:bCs/>
                <w:sz w:val="18"/>
                <w:szCs w:val="18"/>
              </w:rPr>
              <w:t>250 per 1000</w:t>
            </w:r>
            <w:r>
              <w:rPr>
                <w:rFonts w:ascii="Arial Narrow" w:hAnsi="Arial Narrow"/>
                <w:sz w:val="18"/>
                <w:szCs w:val="18"/>
              </w:rPr>
              <w:br/>
            </w:r>
            <w:r>
              <w:rPr>
                <w:rStyle w:val="cell-value"/>
                <w:rFonts w:ascii="Arial Narrow" w:hAnsi="Arial Narrow"/>
                <w:sz w:val="18"/>
                <w:szCs w:val="18"/>
              </w:rPr>
              <w:t xml:space="preserve">(207 </w:t>
            </w:r>
            <w:proofErr w:type="spellStart"/>
            <w:r>
              <w:rPr>
                <w:rStyle w:val="cell-value"/>
                <w:rFonts w:ascii="Arial Narrow" w:hAnsi="Arial Narrow"/>
                <w:sz w:val="18"/>
                <w:szCs w:val="18"/>
              </w:rPr>
              <w:t>to</w:t>
            </w:r>
            <w:proofErr w:type="spellEnd"/>
            <w:r>
              <w:rPr>
                <w:rStyle w:val="cell-value"/>
                <w:rFonts w:ascii="Arial Narrow" w:hAnsi="Arial Narrow"/>
                <w:sz w:val="18"/>
                <w:szCs w:val="18"/>
              </w:rPr>
              <w:t xml:space="preserve"> 300)</w:t>
            </w:r>
          </w:p>
        </w:tc>
        <w:tc>
          <w:tcPr>
            <w:tcW w:w="589" w:type="pct"/>
            <w:tcBorders>
              <w:top w:val="single" w:sz="6" w:space="0" w:color="000000"/>
              <w:left w:val="nil"/>
              <w:bottom w:val="single" w:sz="6" w:space="0" w:color="000000"/>
              <w:right w:val="nil"/>
            </w:tcBorders>
            <w:vAlign w:val="center"/>
            <w:hideMark/>
          </w:tcPr>
          <w:p w14:paraId="2C56558B" w14:textId="77777777" w:rsidR="009F5320" w:rsidRDefault="009F5320" w:rsidP="00350225">
            <w:pPr>
              <w:jc w:val="center"/>
              <w:rPr>
                <w:rFonts w:ascii="Arial Narrow" w:hAnsi="Arial Narrow"/>
                <w:sz w:val="16"/>
                <w:szCs w:val="16"/>
              </w:rPr>
            </w:pPr>
            <w:r>
              <w:rPr>
                <w:rStyle w:val="block"/>
                <w:rFonts w:ascii="Arial Narrow" w:hAnsi="Arial Narrow"/>
                <w:b/>
                <w:bCs/>
                <w:sz w:val="16"/>
                <w:szCs w:val="16"/>
              </w:rPr>
              <w:t>RR 0.70</w:t>
            </w:r>
            <w:r>
              <w:rPr>
                <w:rFonts w:ascii="Arial Narrow" w:hAnsi="Arial Narrow"/>
                <w:sz w:val="16"/>
                <w:szCs w:val="16"/>
              </w:rPr>
              <w:br/>
            </w:r>
            <w:r>
              <w:rPr>
                <w:rStyle w:val="cell"/>
                <w:rFonts w:ascii="Arial Narrow" w:hAnsi="Arial Narrow"/>
                <w:sz w:val="16"/>
                <w:szCs w:val="16"/>
              </w:rPr>
              <w:t xml:space="preserve">(0.58 </w:t>
            </w:r>
            <w:proofErr w:type="spellStart"/>
            <w:r>
              <w:rPr>
                <w:rStyle w:val="cell"/>
                <w:rFonts w:ascii="Arial Narrow" w:hAnsi="Arial Narrow"/>
                <w:sz w:val="16"/>
                <w:szCs w:val="16"/>
              </w:rPr>
              <w:t>to</w:t>
            </w:r>
            <w:proofErr w:type="spellEnd"/>
            <w:r>
              <w:rPr>
                <w:rStyle w:val="cell"/>
                <w:rFonts w:ascii="Arial Narrow" w:hAnsi="Arial Narrow"/>
                <w:sz w:val="16"/>
                <w:szCs w:val="16"/>
              </w:rPr>
              <w:t xml:space="preserve"> 0.84)</w:t>
            </w:r>
          </w:p>
        </w:tc>
        <w:tc>
          <w:tcPr>
            <w:tcW w:w="589" w:type="pct"/>
            <w:tcBorders>
              <w:top w:val="single" w:sz="6" w:space="0" w:color="000000"/>
              <w:left w:val="nil"/>
              <w:bottom w:val="single" w:sz="6" w:space="0" w:color="000000"/>
              <w:right w:val="nil"/>
            </w:tcBorders>
            <w:vAlign w:val="center"/>
            <w:hideMark/>
          </w:tcPr>
          <w:p w14:paraId="071C7471" w14:textId="77777777" w:rsidR="009F5320" w:rsidRDefault="009F5320" w:rsidP="00350225">
            <w:pPr>
              <w:jc w:val="center"/>
              <w:rPr>
                <w:rFonts w:ascii="Arial Narrow" w:hAnsi="Arial Narrow"/>
                <w:sz w:val="16"/>
                <w:szCs w:val="16"/>
              </w:rPr>
            </w:pPr>
            <w:r>
              <w:rPr>
                <w:rFonts w:ascii="Arial Narrow" w:hAnsi="Arial Narrow"/>
                <w:sz w:val="16"/>
                <w:szCs w:val="16"/>
              </w:rPr>
              <w:t>1466</w:t>
            </w:r>
            <w:r>
              <w:rPr>
                <w:rFonts w:ascii="Arial Narrow" w:hAnsi="Arial Narrow"/>
                <w:sz w:val="16"/>
                <w:szCs w:val="16"/>
              </w:rPr>
              <w:br/>
              <w:t xml:space="preserve">(12 </w:t>
            </w:r>
            <w:proofErr w:type="spellStart"/>
            <w:r>
              <w:rPr>
                <w:rFonts w:ascii="Arial Narrow" w:hAnsi="Arial Narrow"/>
                <w:sz w:val="16"/>
                <w:szCs w:val="16"/>
              </w:rPr>
              <w:t>RCTs</w:t>
            </w:r>
            <w:proofErr w:type="spellEnd"/>
            <w:r>
              <w:rPr>
                <w:rFonts w:ascii="Arial Narrow" w:hAnsi="Arial Narrow"/>
                <w:sz w:val="16"/>
                <w:szCs w:val="16"/>
              </w:rPr>
              <w:t>)</w:t>
            </w:r>
          </w:p>
        </w:tc>
        <w:tc>
          <w:tcPr>
            <w:tcW w:w="581" w:type="pct"/>
            <w:tcBorders>
              <w:top w:val="single" w:sz="6" w:space="0" w:color="000000"/>
              <w:left w:val="nil"/>
              <w:bottom w:val="single" w:sz="6" w:space="0" w:color="000000"/>
              <w:right w:val="nil"/>
            </w:tcBorders>
            <w:vAlign w:val="center"/>
            <w:hideMark/>
          </w:tcPr>
          <w:p w14:paraId="69ABB657" w14:textId="706749F3" w:rsidR="009F5320" w:rsidRDefault="009F5320" w:rsidP="00350225">
            <w:pPr>
              <w:jc w:val="center"/>
              <w:rPr>
                <w:rFonts w:ascii="Arial Narrow" w:hAnsi="Arial Narrow"/>
                <w:sz w:val="16"/>
                <w:szCs w:val="16"/>
              </w:rPr>
            </w:pPr>
            <w:r>
              <w:rPr>
                <w:rStyle w:val="quality-sign"/>
                <w:rFonts w:ascii="Cambria Math" w:hAnsi="Cambria Math" w:cs="Cambria Math"/>
                <w:sz w:val="21"/>
                <w:szCs w:val="21"/>
              </w:rPr>
              <w:t>⨁⨁⨁◯</w:t>
            </w:r>
            <w:r>
              <w:rPr>
                <w:rFonts w:ascii="Arial Narrow" w:hAnsi="Arial Narrow"/>
                <w:sz w:val="16"/>
                <w:szCs w:val="16"/>
              </w:rPr>
              <w:br/>
            </w:r>
            <w:proofErr w:type="spellStart"/>
            <w:r>
              <w:rPr>
                <w:rStyle w:val="quality-text"/>
                <w:rFonts w:ascii="Arial Narrow" w:hAnsi="Arial Narrow"/>
                <w:sz w:val="16"/>
                <w:szCs w:val="16"/>
              </w:rPr>
              <w:t>Moderate</w:t>
            </w:r>
            <w:r w:rsidR="00E43899" w:rsidRPr="00E43899">
              <w:rPr>
                <w:rStyle w:val="quality-text"/>
                <w:rFonts w:ascii="Arial Narrow" w:hAnsi="Arial Narrow"/>
                <w:sz w:val="16"/>
                <w:szCs w:val="16"/>
                <w:vertAlign w:val="superscript"/>
              </w:rPr>
              <w:t>a</w:t>
            </w:r>
            <w:proofErr w:type="spellEnd"/>
          </w:p>
        </w:tc>
        <w:tc>
          <w:tcPr>
            <w:tcW w:w="1292" w:type="pct"/>
            <w:tcBorders>
              <w:top w:val="single" w:sz="6" w:space="0" w:color="000000"/>
              <w:left w:val="nil"/>
              <w:bottom w:val="single" w:sz="6" w:space="0" w:color="000000"/>
              <w:right w:val="nil"/>
            </w:tcBorders>
            <w:vAlign w:val="center"/>
            <w:hideMark/>
          </w:tcPr>
          <w:p w14:paraId="7B7F16A5" w14:textId="77777777" w:rsidR="009F5320" w:rsidRDefault="009F5320" w:rsidP="00350225">
            <w:pPr>
              <w:jc w:val="center"/>
              <w:rPr>
                <w:rFonts w:ascii="Arial Narrow" w:hAnsi="Arial Narrow"/>
                <w:sz w:val="16"/>
                <w:szCs w:val="16"/>
              </w:rPr>
            </w:pPr>
          </w:p>
        </w:tc>
      </w:tr>
      <w:tr w:rsidR="009F5320" w14:paraId="48B4DAB2" w14:textId="77777777" w:rsidTr="009F5320">
        <w:trPr>
          <w:cantSplit/>
        </w:trPr>
        <w:tc>
          <w:tcPr>
            <w:tcW w:w="770" w:type="pct"/>
            <w:tcBorders>
              <w:top w:val="single" w:sz="6" w:space="0" w:color="000000"/>
              <w:left w:val="nil"/>
              <w:bottom w:val="single" w:sz="6" w:space="0" w:color="000000"/>
              <w:right w:val="nil"/>
            </w:tcBorders>
            <w:vAlign w:val="center"/>
            <w:hideMark/>
          </w:tcPr>
          <w:p w14:paraId="4682E884" w14:textId="77777777" w:rsidR="009F5320" w:rsidRDefault="009F5320" w:rsidP="00350225">
            <w:pPr>
              <w:jc w:val="center"/>
              <w:rPr>
                <w:rFonts w:ascii="Arial Narrow" w:hAnsi="Arial Narrow"/>
                <w:sz w:val="16"/>
                <w:szCs w:val="16"/>
              </w:rPr>
            </w:pPr>
            <w:r>
              <w:rPr>
                <w:rStyle w:val="label"/>
                <w:rFonts w:ascii="Arial Narrow" w:hAnsi="Arial Narrow"/>
                <w:sz w:val="18"/>
                <w:szCs w:val="18"/>
              </w:rPr>
              <w:t xml:space="preserve">End of </w:t>
            </w:r>
            <w:proofErr w:type="spellStart"/>
            <w:r>
              <w:rPr>
                <w:rStyle w:val="label"/>
                <w:rFonts w:ascii="Arial Narrow" w:hAnsi="Arial Narrow"/>
                <w:sz w:val="18"/>
                <w:szCs w:val="18"/>
              </w:rPr>
              <w:t>surgery</w:t>
            </w:r>
            <w:proofErr w:type="spellEnd"/>
            <w:r>
              <w:rPr>
                <w:rStyle w:val="label"/>
                <w:rFonts w:ascii="Arial Narrow" w:hAnsi="Arial Narrow"/>
                <w:sz w:val="18"/>
                <w:szCs w:val="18"/>
              </w:rPr>
              <w:t xml:space="preserve"> PaO</w:t>
            </w:r>
            <w:r w:rsidRPr="006B3599">
              <w:rPr>
                <w:rStyle w:val="label"/>
                <w:rFonts w:ascii="Arial Narrow" w:hAnsi="Arial Narrow"/>
                <w:sz w:val="18"/>
                <w:szCs w:val="18"/>
                <w:vertAlign w:val="subscript"/>
              </w:rPr>
              <w:t>2</w:t>
            </w:r>
            <w:r>
              <w:rPr>
                <w:rStyle w:val="label"/>
                <w:rFonts w:ascii="Arial Narrow" w:hAnsi="Arial Narrow"/>
                <w:sz w:val="18"/>
                <w:szCs w:val="18"/>
              </w:rPr>
              <w:t>/FiO</w:t>
            </w:r>
            <w:r w:rsidRPr="006B3599">
              <w:rPr>
                <w:rStyle w:val="label"/>
                <w:rFonts w:ascii="Arial Narrow" w:hAnsi="Arial Narrow"/>
                <w:sz w:val="18"/>
                <w:szCs w:val="18"/>
                <w:vertAlign w:val="subscript"/>
              </w:rPr>
              <w:t>2</w:t>
            </w:r>
            <w:r>
              <w:rPr>
                <w:rStyle w:val="label"/>
                <w:rFonts w:ascii="Arial Narrow" w:hAnsi="Arial Narrow"/>
                <w:sz w:val="18"/>
                <w:szCs w:val="18"/>
              </w:rPr>
              <w:t xml:space="preserve"> (P/F) ratio </w:t>
            </w:r>
            <w:r>
              <w:rPr>
                <w:rStyle w:val="short-name"/>
                <w:rFonts w:ascii="Arial Narrow" w:hAnsi="Arial Narrow"/>
                <w:sz w:val="18"/>
                <w:szCs w:val="18"/>
              </w:rPr>
              <w:t>(P/F ratio)</w:t>
            </w:r>
          </w:p>
        </w:tc>
        <w:tc>
          <w:tcPr>
            <w:tcW w:w="589" w:type="pct"/>
            <w:tcBorders>
              <w:top w:val="single" w:sz="6" w:space="0" w:color="000000"/>
              <w:left w:val="nil"/>
              <w:bottom w:val="single" w:sz="6" w:space="0" w:color="000000"/>
              <w:right w:val="nil"/>
            </w:tcBorders>
            <w:shd w:val="clear" w:color="auto" w:fill="EBEBEB"/>
            <w:vAlign w:val="center"/>
            <w:hideMark/>
          </w:tcPr>
          <w:p w14:paraId="271EDC15" w14:textId="77777777" w:rsidR="009F5320" w:rsidRDefault="009F5320" w:rsidP="00350225">
            <w:pPr>
              <w:jc w:val="center"/>
              <w:rPr>
                <w:rFonts w:ascii="Arial Narrow" w:hAnsi="Arial Narrow"/>
                <w:sz w:val="16"/>
                <w:szCs w:val="16"/>
              </w:rPr>
            </w:pPr>
            <w:r>
              <w:rPr>
                <w:rStyle w:val="cell-value"/>
                <w:rFonts w:ascii="Arial Narrow" w:hAnsi="Arial Narrow"/>
                <w:sz w:val="16"/>
                <w:szCs w:val="16"/>
              </w:rPr>
              <w:t xml:space="preserve">The </w:t>
            </w:r>
            <w:proofErr w:type="spellStart"/>
            <w:r>
              <w:rPr>
                <w:rStyle w:val="cell-value"/>
                <w:rFonts w:ascii="Arial Narrow" w:hAnsi="Arial Narrow"/>
                <w:sz w:val="16"/>
                <w:szCs w:val="16"/>
              </w:rPr>
              <w:t>mean</w:t>
            </w:r>
            <w:proofErr w:type="spellEnd"/>
            <w:r>
              <w:rPr>
                <w:rStyle w:val="cell-value"/>
                <w:rFonts w:ascii="Arial Narrow" w:hAnsi="Arial Narrow"/>
                <w:sz w:val="16"/>
                <w:szCs w:val="16"/>
              </w:rPr>
              <w:t xml:space="preserve"> end of </w:t>
            </w:r>
            <w:proofErr w:type="spellStart"/>
            <w:r>
              <w:rPr>
                <w:rStyle w:val="cell-value"/>
                <w:rFonts w:ascii="Arial Narrow" w:hAnsi="Arial Narrow"/>
                <w:sz w:val="16"/>
                <w:szCs w:val="16"/>
              </w:rPr>
              <w:t>surgery</w:t>
            </w:r>
            <w:proofErr w:type="spellEnd"/>
            <w:r>
              <w:rPr>
                <w:rStyle w:val="cell-value"/>
                <w:rFonts w:ascii="Arial Narrow" w:hAnsi="Arial Narrow"/>
                <w:sz w:val="16"/>
                <w:szCs w:val="16"/>
              </w:rPr>
              <w:t xml:space="preserve"> PaO2/FiO2 (P/F) ratio </w:t>
            </w:r>
            <w:proofErr w:type="spellStart"/>
            <w:r>
              <w:rPr>
                <w:rStyle w:val="cell-value"/>
                <w:rFonts w:ascii="Arial Narrow" w:hAnsi="Arial Narrow"/>
                <w:sz w:val="16"/>
                <w:szCs w:val="16"/>
              </w:rPr>
              <w:t>was</w:t>
            </w:r>
            <w:proofErr w:type="spellEnd"/>
            <w:r>
              <w:rPr>
                <w:rStyle w:val="cell-value"/>
                <w:rFonts w:ascii="Arial Narrow" w:hAnsi="Arial Narrow"/>
                <w:sz w:val="16"/>
                <w:szCs w:val="16"/>
              </w:rPr>
              <w:t xml:space="preserve"> </w:t>
            </w:r>
            <w:r>
              <w:rPr>
                <w:rStyle w:val="cell-value"/>
                <w:rFonts w:ascii="Arial Narrow" w:hAnsi="Arial Narrow"/>
                <w:b/>
                <w:bCs/>
                <w:sz w:val="16"/>
                <w:szCs w:val="16"/>
              </w:rPr>
              <w:t>0</w:t>
            </w:r>
            <w:r>
              <w:rPr>
                <w:rStyle w:val="cell-value"/>
                <w:rFonts w:ascii="Arial Narrow" w:hAnsi="Arial Narrow"/>
                <w:sz w:val="16"/>
                <w:szCs w:val="16"/>
              </w:rPr>
              <w:t xml:space="preserve"> </w:t>
            </w:r>
            <w:proofErr w:type="spellStart"/>
            <w:r>
              <w:rPr>
                <w:rStyle w:val="cell-value"/>
                <w:rFonts w:ascii="Arial Narrow" w:hAnsi="Arial Narrow"/>
                <w:sz w:val="16"/>
                <w:szCs w:val="16"/>
              </w:rPr>
              <w:t>mmHg</w:t>
            </w:r>
            <w:proofErr w:type="spellEnd"/>
          </w:p>
        </w:tc>
        <w:tc>
          <w:tcPr>
            <w:tcW w:w="589" w:type="pct"/>
            <w:tcBorders>
              <w:top w:val="single" w:sz="6" w:space="0" w:color="000000"/>
              <w:left w:val="nil"/>
              <w:bottom w:val="single" w:sz="6" w:space="0" w:color="000000"/>
              <w:right w:val="nil"/>
            </w:tcBorders>
            <w:shd w:val="clear" w:color="auto" w:fill="EBEBEB"/>
            <w:hideMark/>
          </w:tcPr>
          <w:p w14:paraId="65EDDA15" w14:textId="77777777" w:rsidR="009F5320" w:rsidRDefault="009F5320" w:rsidP="00350225">
            <w:pPr>
              <w:jc w:val="center"/>
              <w:rPr>
                <w:rFonts w:ascii="Arial Narrow" w:hAnsi="Arial Narrow"/>
                <w:sz w:val="16"/>
                <w:szCs w:val="16"/>
              </w:rPr>
            </w:pPr>
            <w:r>
              <w:rPr>
                <w:rStyle w:val="cell-value"/>
                <w:rFonts w:ascii="Arial Narrow" w:hAnsi="Arial Narrow"/>
                <w:sz w:val="16"/>
                <w:szCs w:val="16"/>
              </w:rPr>
              <w:t xml:space="preserve">MD </w:t>
            </w:r>
            <w:r>
              <w:rPr>
                <w:rStyle w:val="cell-value"/>
                <w:rFonts w:ascii="Arial Narrow" w:hAnsi="Arial Narrow"/>
                <w:b/>
                <w:bCs/>
                <w:sz w:val="16"/>
                <w:szCs w:val="16"/>
              </w:rPr>
              <w:t xml:space="preserve">55.99 </w:t>
            </w:r>
            <w:proofErr w:type="spellStart"/>
            <w:r>
              <w:rPr>
                <w:rStyle w:val="cell-value"/>
                <w:rFonts w:ascii="Arial Narrow" w:hAnsi="Arial Narrow"/>
                <w:b/>
                <w:bCs/>
                <w:sz w:val="16"/>
                <w:szCs w:val="16"/>
              </w:rPr>
              <w:t>mmHg</w:t>
            </w:r>
            <w:proofErr w:type="spellEnd"/>
            <w:r>
              <w:rPr>
                <w:rStyle w:val="cell-value"/>
                <w:rFonts w:ascii="Arial Narrow" w:hAnsi="Arial Narrow"/>
                <w:b/>
                <w:bCs/>
                <w:sz w:val="16"/>
                <w:szCs w:val="16"/>
              </w:rPr>
              <w:t xml:space="preserve"> </w:t>
            </w:r>
            <w:proofErr w:type="spellStart"/>
            <w:r>
              <w:rPr>
                <w:rStyle w:val="cell-value"/>
                <w:rFonts w:ascii="Arial Narrow" w:hAnsi="Arial Narrow"/>
                <w:b/>
                <w:bCs/>
                <w:sz w:val="16"/>
                <w:szCs w:val="16"/>
              </w:rPr>
              <w:t>higher</w:t>
            </w:r>
            <w:proofErr w:type="spellEnd"/>
            <w:r>
              <w:rPr>
                <w:rFonts w:ascii="Arial Narrow" w:hAnsi="Arial Narrow"/>
                <w:sz w:val="16"/>
                <w:szCs w:val="16"/>
              </w:rPr>
              <w:br/>
            </w:r>
            <w:r>
              <w:rPr>
                <w:rStyle w:val="cell-value"/>
                <w:rFonts w:ascii="Arial Narrow" w:hAnsi="Arial Narrow"/>
                <w:sz w:val="16"/>
                <w:szCs w:val="16"/>
              </w:rPr>
              <w:t xml:space="preserve">(31.78 </w:t>
            </w:r>
            <w:proofErr w:type="spellStart"/>
            <w:r>
              <w:rPr>
                <w:rStyle w:val="cell-value"/>
                <w:rFonts w:ascii="Arial Narrow" w:hAnsi="Arial Narrow"/>
                <w:sz w:val="16"/>
                <w:szCs w:val="16"/>
              </w:rPr>
              <w:t>higher</w:t>
            </w:r>
            <w:proofErr w:type="spellEnd"/>
            <w:r>
              <w:rPr>
                <w:rStyle w:val="cell-value"/>
                <w:rFonts w:ascii="Arial Narrow" w:hAnsi="Arial Narrow"/>
                <w:sz w:val="16"/>
                <w:szCs w:val="16"/>
              </w:rPr>
              <w:t xml:space="preserve"> </w:t>
            </w:r>
            <w:proofErr w:type="spellStart"/>
            <w:r>
              <w:rPr>
                <w:rStyle w:val="cell-value"/>
                <w:rFonts w:ascii="Arial Narrow" w:hAnsi="Arial Narrow"/>
                <w:sz w:val="16"/>
                <w:szCs w:val="16"/>
              </w:rPr>
              <w:t>to</w:t>
            </w:r>
            <w:proofErr w:type="spellEnd"/>
            <w:r>
              <w:rPr>
                <w:rStyle w:val="cell-value"/>
                <w:rFonts w:ascii="Arial Narrow" w:hAnsi="Arial Narrow"/>
                <w:sz w:val="16"/>
                <w:szCs w:val="16"/>
              </w:rPr>
              <w:t xml:space="preserve"> 80.21 </w:t>
            </w:r>
            <w:proofErr w:type="spellStart"/>
            <w:r>
              <w:rPr>
                <w:rStyle w:val="cell-value"/>
                <w:rFonts w:ascii="Arial Narrow" w:hAnsi="Arial Narrow"/>
                <w:sz w:val="16"/>
                <w:szCs w:val="16"/>
              </w:rPr>
              <w:t>higher</w:t>
            </w:r>
            <w:proofErr w:type="spellEnd"/>
            <w:r>
              <w:rPr>
                <w:rStyle w:val="cell-value"/>
                <w:rFonts w:ascii="Arial Narrow" w:hAnsi="Arial Narrow"/>
                <w:sz w:val="16"/>
                <w:szCs w:val="16"/>
              </w:rPr>
              <w:t>)</w:t>
            </w:r>
          </w:p>
        </w:tc>
        <w:tc>
          <w:tcPr>
            <w:tcW w:w="589" w:type="pct"/>
            <w:tcBorders>
              <w:top w:val="single" w:sz="6" w:space="0" w:color="000000"/>
              <w:left w:val="nil"/>
              <w:bottom w:val="single" w:sz="6" w:space="0" w:color="000000"/>
              <w:right w:val="nil"/>
            </w:tcBorders>
            <w:vAlign w:val="center"/>
            <w:hideMark/>
          </w:tcPr>
          <w:p w14:paraId="70D44A44" w14:textId="77777777" w:rsidR="009F5320" w:rsidRDefault="009F5320" w:rsidP="00350225">
            <w:pPr>
              <w:jc w:val="center"/>
              <w:rPr>
                <w:rFonts w:ascii="Arial Narrow" w:hAnsi="Arial Narrow"/>
                <w:sz w:val="16"/>
                <w:szCs w:val="16"/>
              </w:rPr>
            </w:pPr>
            <w:r>
              <w:rPr>
                <w:rStyle w:val="cell"/>
                <w:rFonts w:ascii="Arial Narrow" w:hAnsi="Arial Narrow"/>
                <w:sz w:val="16"/>
                <w:szCs w:val="16"/>
              </w:rPr>
              <w:t>-</w:t>
            </w:r>
          </w:p>
        </w:tc>
        <w:tc>
          <w:tcPr>
            <w:tcW w:w="589" w:type="pct"/>
            <w:tcBorders>
              <w:top w:val="single" w:sz="6" w:space="0" w:color="000000"/>
              <w:left w:val="nil"/>
              <w:bottom w:val="single" w:sz="6" w:space="0" w:color="000000"/>
              <w:right w:val="nil"/>
            </w:tcBorders>
            <w:vAlign w:val="center"/>
            <w:hideMark/>
          </w:tcPr>
          <w:p w14:paraId="1B320F76" w14:textId="77777777" w:rsidR="009F5320" w:rsidRDefault="009F5320" w:rsidP="00350225">
            <w:pPr>
              <w:jc w:val="center"/>
              <w:rPr>
                <w:rFonts w:ascii="Arial Narrow" w:hAnsi="Arial Narrow"/>
                <w:sz w:val="16"/>
                <w:szCs w:val="16"/>
              </w:rPr>
            </w:pPr>
            <w:r>
              <w:rPr>
                <w:rFonts w:ascii="Arial Narrow" w:hAnsi="Arial Narrow"/>
                <w:sz w:val="16"/>
                <w:szCs w:val="16"/>
              </w:rPr>
              <w:t>1843</w:t>
            </w:r>
            <w:r>
              <w:rPr>
                <w:rFonts w:ascii="Arial Narrow" w:hAnsi="Arial Narrow"/>
                <w:sz w:val="16"/>
                <w:szCs w:val="16"/>
              </w:rPr>
              <w:br/>
              <w:t xml:space="preserve">(20 </w:t>
            </w:r>
            <w:proofErr w:type="spellStart"/>
            <w:r>
              <w:rPr>
                <w:rFonts w:ascii="Arial Narrow" w:hAnsi="Arial Narrow"/>
                <w:sz w:val="16"/>
                <w:szCs w:val="16"/>
              </w:rPr>
              <w:t>RCTs</w:t>
            </w:r>
            <w:proofErr w:type="spellEnd"/>
            <w:r>
              <w:rPr>
                <w:rFonts w:ascii="Arial Narrow" w:hAnsi="Arial Narrow"/>
                <w:sz w:val="16"/>
                <w:szCs w:val="16"/>
              </w:rPr>
              <w:t>)</w:t>
            </w:r>
          </w:p>
        </w:tc>
        <w:tc>
          <w:tcPr>
            <w:tcW w:w="581" w:type="pct"/>
            <w:tcBorders>
              <w:top w:val="single" w:sz="6" w:space="0" w:color="000000"/>
              <w:left w:val="nil"/>
              <w:bottom w:val="single" w:sz="6" w:space="0" w:color="000000"/>
              <w:right w:val="nil"/>
            </w:tcBorders>
            <w:vAlign w:val="center"/>
            <w:hideMark/>
          </w:tcPr>
          <w:p w14:paraId="6A87E5FA" w14:textId="77777777" w:rsidR="009F5320" w:rsidRDefault="009F5320" w:rsidP="00350225">
            <w:pPr>
              <w:jc w:val="center"/>
              <w:rPr>
                <w:rFonts w:ascii="Arial Narrow" w:hAnsi="Arial Narrow"/>
                <w:sz w:val="16"/>
                <w:szCs w:val="16"/>
              </w:rPr>
            </w:pPr>
            <w:r>
              <w:rPr>
                <w:rStyle w:val="quality-sign"/>
                <w:rFonts w:ascii="Cambria Math" w:hAnsi="Cambria Math" w:cs="Cambria Math"/>
                <w:sz w:val="21"/>
                <w:szCs w:val="21"/>
              </w:rPr>
              <w:t>⨁⨁⨁◯</w:t>
            </w:r>
            <w:r>
              <w:rPr>
                <w:rFonts w:ascii="Arial Narrow" w:hAnsi="Arial Narrow"/>
                <w:sz w:val="16"/>
                <w:szCs w:val="16"/>
              </w:rPr>
              <w:br/>
            </w:r>
            <w:proofErr w:type="spellStart"/>
            <w:r>
              <w:rPr>
                <w:rStyle w:val="quality-text"/>
                <w:rFonts w:ascii="Arial Narrow" w:hAnsi="Arial Narrow"/>
                <w:sz w:val="16"/>
                <w:szCs w:val="16"/>
              </w:rPr>
              <w:t>Moderate</w:t>
            </w:r>
            <w:r>
              <w:rPr>
                <w:rFonts w:ascii="Arial Narrow" w:hAnsi="Arial Narrow"/>
                <w:sz w:val="16"/>
                <w:szCs w:val="16"/>
                <w:vertAlign w:val="superscript"/>
              </w:rPr>
              <w:t>b</w:t>
            </w:r>
            <w:proofErr w:type="spellEnd"/>
          </w:p>
        </w:tc>
        <w:tc>
          <w:tcPr>
            <w:tcW w:w="1292" w:type="pct"/>
            <w:tcBorders>
              <w:top w:val="single" w:sz="6" w:space="0" w:color="000000"/>
              <w:left w:val="nil"/>
              <w:bottom w:val="single" w:sz="6" w:space="0" w:color="000000"/>
              <w:right w:val="nil"/>
            </w:tcBorders>
            <w:vAlign w:val="center"/>
            <w:hideMark/>
          </w:tcPr>
          <w:p w14:paraId="7A8E85ED" w14:textId="77777777" w:rsidR="009F5320" w:rsidRDefault="009F5320" w:rsidP="00350225">
            <w:pPr>
              <w:jc w:val="center"/>
              <w:rPr>
                <w:rFonts w:ascii="Arial Narrow" w:hAnsi="Arial Narrow"/>
                <w:sz w:val="16"/>
                <w:szCs w:val="16"/>
              </w:rPr>
            </w:pPr>
          </w:p>
        </w:tc>
      </w:tr>
      <w:tr w:rsidR="009F5320" w14:paraId="5BB33037" w14:textId="77777777" w:rsidTr="009F5320">
        <w:trPr>
          <w:cantSplit/>
        </w:trPr>
        <w:tc>
          <w:tcPr>
            <w:tcW w:w="770" w:type="pct"/>
            <w:tcBorders>
              <w:top w:val="single" w:sz="6" w:space="0" w:color="000000"/>
              <w:left w:val="nil"/>
              <w:bottom w:val="single" w:sz="6" w:space="0" w:color="000000"/>
              <w:right w:val="nil"/>
            </w:tcBorders>
            <w:vAlign w:val="center"/>
          </w:tcPr>
          <w:p w14:paraId="5D36B368" w14:textId="77777777" w:rsidR="009F5320" w:rsidRDefault="009F5320" w:rsidP="00350225">
            <w:pPr>
              <w:jc w:val="center"/>
              <w:rPr>
                <w:rStyle w:val="label"/>
                <w:rFonts w:ascii="Arial Narrow" w:hAnsi="Arial Narrow"/>
                <w:sz w:val="18"/>
                <w:szCs w:val="18"/>
              </w:rPr>
            </w:pPr>
            <w:r>
              <w:rPr>
                <w:rStyle w:val="label"/>
                <w:rFonts w:ascii="Arial Narrow" w:hAnsi="Arial Narrow"/>
                <w:sz w:val="18"/>
                <w:szCs w:val="18"/>
              </w:rPr>
              <w:t xml:space="preserve">PEEP values </w:t>
            </w:r>
            <w:proofErr w:type="spellStart"/>
            <w:r>
              <w:rPr>
                <w:rStyle w:val="label"/>
                <w:rFonts w:ascii="Arial Narrow" w:hAnsi="Arial Narrow"/>
                <w:sz w:val="18"/>
                <w:szCs w:val="18"/>
              </w:rPr>
              <w:t>used</w:t>
            </w:r>
            <w:proofErr w:type="spellEnd"/>
            <w:r>
              <w:rPr>
                <w:rStyle w:val="label"/>
                <w:rFonts w:ascii="Arial Narrow" w:hAnsi="Arial Narrow"/>
                <w:sz w:val="18"/>
                <w:szCs w:val="18"/>
              </w:rPr>
              <w:t xml:space="preserve"> </w:t>
            </w:r>
            <w:r>
              <w:rPr>
                <w:rStyle w:val="short-name"/>
                <w:rFonts w:ascii="Arial Narrow" w:hAnsi="Arial Narrow"/>
                <w:sz w:val="18"/>
                <w:szCs w:val="18"/>
              </w:rPr>
              <w:t>(PEEP)</w:t>
            </w:r>
          </w:p>
        </w:tc>
        <w:tc>
          <w:tcPr>
            <w:tcW w:w="589" w:type="pct"/>
            <w:tcBorders>
              <w:top w:val="single" w:sz="6" w:space="0" w:color="000000"/>
              <w:left w:val="nil"/>
              <w:bottom w:val="single" w:sz="6" w:space="0" w:color="000000"/>
              <w:right w:val="nil"/>
            </w:tcBorders>
            <w:shd w:val="clear" w:color="auto" w:fill="EBEBEB"/>
            <w:vAlign w:val="center"/>
          </w:tcPr>
          <w:p w14:paraId="168D8755" w14:textId="77777777" w:rsidR="009F5320" w:rsidRDefault="009F5320" w:rsidP="00350225">
            <w:pPr>
              <w:jc w:val="center"/>
              <w:rPr>
                <w:rStyle w:val="cell-value"/>
                <w:rFonts w:ascii="Arial Narrow" w:hAnsi="Arial Narrow"/>
                <w:sz w:val="16"/>
                <w:szCs w:val="16"/>
              </w:rPr>
            </w:pPr>
            <w:r>
              <w:rPr>
                <w:rStyle w:val="cell-value"/>
                <w:rFonts w:ascii="Arial Narrow" w:hAnsi="Arial Narrow"/>
                <w:sz w:val="16"/>
                <w:szCs w:val="16"/>
              </w:rPr>
              <w:t xml:space="preserve">The </w:t>
            </w:r>
            <w:proofErr w:type="spellStart"/>
            <w:r>
              <w:rPr>
                <w:rStyle w:val="cell-value"/>
                <w:rFonts w:ascii="Arial Narrow" w:hAnsi="Arial Narrow"/>
                <w:sz w:val="16"/>
                <w:szCs w:val="16"/>
              </w:rPr>
              <w:t>mean</w:t>
            </w:r>
            <w:proofErr w:type="spellEnd"/>
            <w:r>
              <w:rPr>
                <w:rStyle w:val="cell-value"/>
                <w:rFonts w:ascii="Arial Narrow" w:hAnsi="Arial Narrow"/>
                <w:sz w:val="16"/>
                <w:szCs w:val="16"/>
              </w:rPr>
              <w:t xml:space="preserve"> PEEP values </w:t>
            </w:r>
            <w:proofErr w:type="spellStart"/>
            <w:r>
              <w:rPr>
                <w:rStyle w:val="cell-value"/>
                <w:rFonts w:ascii="Arial Narrow" w:hAnsi="Arial Narrow"/>
                <w:sz w:val="16"/>
                <w:szCs w:val="16"/>
              </w:rPr>
              <w:t>used</w:t>
            </w:r>
            <w:proofErr w:type="spellEnd"/>
            <w:r>
              <w:rPr>
                <w:rStyle w:val="cell-value"/>
                <w:rFonts w:ascii="Arial Narrow" w:hAnsi="Arial Narrow"/>
                <w:sz w:val="16"/>
                <w:szCs w:val="16"/>
              </w:rPr>
              <w:t xml:space="preserve"> </w:t>
            </w:r>
            <w:proofErr w:type="spellStart"/>
            <w:r>
              <w:rPr>
                <w:rStyle w:val="cell-value"/>
                <w:rFonts w:ascii="Arial Narrow" w:hAnsi="Arial Narrow"/>
                <w:sz w:val="16"/>
                <w:szCs w:val="16"/>
              </w:rPr>
              <w:t>was</w:t>
            </w:r>
            <w:proofErr w:type="spellEnd"/>
            <w:r>
              <w:rPr>
                <w:rStyle w:val="cell-value"/>
                <w:rFonts w:ascii="Arial Narrow" w:hAnsi="Arial Narrow"/>
                <w:sz w:val="16"/>
                <w:szCs w:val="16"/>
              </w:rPr>
              <w:t xml:space="preserve"> </w:t>
            </w:r>
            <w:r>
              <w:rPr>
                <w:rStyle w:val="cell-value"/>
                <w:rFonts w:ascii="Arial Narrow" w:hAnsi="Arial Narrow"/>
                <w:b/>
                <w:bCs/>
                <w:sz w:val="16"/>
                <w:szCs w:val="16"/>
              </w:rPr>
              <w:t>0</w:t>
            </w:r>
            <w:r>
              <w:rPr>
                <w:rStyle w:val="cell-value"/>
                <w:rFonts w:ascii="Arial Narrow" w:hAnsi="Arial Narrow"/>
                <w:sz w:val="16"/>
                <w:szCs w:val="16"/>
              </w:rPr>
              <w:t xml:space="preserve"> cmH</w:t>
            </w:r>
            <w:r w:rsidRPr="000C301F">
              <w:rPr>
                <w:rStyle w:val="cell-value"/>
                <w:rFonts w:ascii="Arial Narrow" w:hAnsi="Arial Narrow"/>
                <w:sz w:val="16"/>
                <w:szCs w:val="16"/>
                <w:vertAlign w:val="subscript"/>
              </w:rPr>
              <w:t>2</w:t>
            </w:r>
            <w:r>
              <w:rPr>
                <w:rStyle w:val="cell-value"/>
                <w:rFonts w:ascii="Arial Narrow" w:hAnsi="Arial Narrow"/>
                <w:sz w:val="16"/>
                <w:szCs w:val="16"/>
              </w:rPr>
              <w:t>O</w:t>
            </w:r>
          </w:p>
        </w:tc>
        <w:tc>
          <w:tcPr>
            <w:tcW w:w="589" w:type="pct"/>
            <w:tcBorders>
              <w:top w:val="single" w:sz="6" w:space="0" w:color="000000"/>
              <w:left w:val="nil"/>
              <w:bottom w:val="single" w:sz="6" w:space="0" w:color="000000"/>
              <w:right w:val="nil"/>
            </w:tcBorders>
            <w:shd w:val="clear" w:color="auto" w:fill="EBEBEB"/>
          </w:tcPr>
          <w:p w14:paraId="4E8D8698" w14:textId="77777777" w:rsidR="009F5320" w:rsidRDefault="009F5320" w:rsidP="00350225">
            <w:pPr>
              <w:jc w:val="center"/>
              <w:rPr>
                <w:rStyle w:val="cell-value"/>
                <w:rFonts w:ascii="Arial Narrow" w:hAnsi="Arial Narrow"/>
                <w:sz w:val="16"/>
                <w:szCs w:val="16"/>
              </w:rPr>
            </w:pPr>
            <w:r>
              <w:rPr>
                <w:rStyle w:val="cell-value"/>
                <w:rFonts w:ascii="Arial Narrow" w:hAnsi="Arial Narrow"/>
                <w:sz w:val="16"/>
                <w:szCs w:val="16"/>
              </w:rPr>
              <w:t xml:space="preserve">MD </w:t>
            </w:r>
            <w:r>
              <w:rPr>
                <w:rStyle w:val="cell-value"/>
                <w:rFonts w:ascii="Arial Narrow" w:hAnsi="Arial Narrow"/>
                <w:b/>
                <w:bCs/>
                <w:sz w:val="16"/>
                <w:szCs w:val="16"/>
              </w:rPr>
              <w:t>6.27 cmH</w:t>
            </w:r>
            <w:r w:rsidRPr="000C301F">
              <w:rPr>
                <w:rStyle w:val="cell-value"/>
                <w:rFonts w:ascii="Arial Narrow" w:hAnsi="Arial Narrow"/>
                <w:b/>
                <w:bCs/>
                <w:sz w:val="16"/>
                <w:szCs w:val="16"/>
                <w:vertAlign w:val="subscript"/>
              </w:rPr>
              <w:t>2</w:t>
            </w:r>
            <w:r>
              <w:rPr>
                <w:rStyle w:val="cell-value"/>
                <w:rFonts w:ascii="Arial Narrow" w:hAnsi="Arial Narrow"/>
                <w:b/>
                <w:bCs/>
                <w:sz w:val="16"/>
                <w:szCs w:val="16"/>
              </w:rPr>
              <w:t xml:space="preserve">O </w:t>
            </w:r>
            <w:proofErr w:type="spellStart"/>
            <w:r>
              <w:rPr>
                <w:rStyle w:val="cell-value"/>
                <w:rFonts w:ascii="Arial Narrow" w:hAnsi="Arial Narrow"/>
                <w:b/>
                <w:bCs/>
                <w:sz w:val="16"/>
                <w:szCs w:val="16"/>
              </w:rPr>
              <w:t>higher</w:t>
            </w:r>
            <w:proofErr w:type="spellEnd"/>
            <w:r>
              <w:rPr>
                <w:rFonts w:ascii="Arial Narrow" w:hAnsi="Arial Narrow"/>
                <w:sz w:val="16"/>
                <w:szCs w:val="16"/>
              </w:rPr>
              <w:br/>
            </w:r>
            <w:r>
              <w:rPr>
                <w:rStyle w:val="cell-value"/>
                <w:rFonts w:ascii="Arial Narrow" w:hAnsi="Arial Narrow"/>
                <w:sz w:val="16"/>
                <w:szCs w:val="16"/>
              </w:rPr>
              <w:t xml:space="preserve">(4.3 </w:t>
            </w:r>
            <w:proofErr w:type="spellStart"/>
            <w:r>
              <w:rPr>
                <w:rStyle w:val="cell-value"/>
                <w:rFonts w:ascii="Arial Narrow" w:hAnsi="Arial Narrow"/>
                <w:sz w:val="16"/>
                <w:szCs w:val="16"/>
              </w:rPr>
              <w:t>higher</w:t>
            </w:r>
            <w:proofErr w:type="spellEnd"/>
            <w:r>
              <w:rPr>
                <w:rStyle w:val="cell-value"/>
                <w:rFonts w:ascii="Arial Narrow" w:hAnsi="Arial Narrow"/>
                <w:sz w:val="16"/>
                <w:szCs w:val="16"/>
              </w:rPr>
              <w:t xml:space="preserve"> </w:t>
            </w:r>
            <w:proofErr w:type="spellStart"/>
            <w:r>
              <w:rPr>
                <w:rStyle w:val="cell-value"/>
                <w:rFonts w:ascii="Arial Narrow" w:hAnsi="Arial Narrow"/>
                <w:sz w:val="16"/>
                <w:szCs w:val="16"/>
              </w:rPr>
              <w:t>to</w:t>
            </w:r>
            <w:proofErr w:type="spellEnd"/>
            <w:r>
              <w:rPr>
                <w:rStyle w:val="cell-value"/>
                <w:rFonts w:ascii="Arial Narrow" w:hAnsi="Arial Narrow"/>
                <w:sz w:val="16"/>
                <w:szCs w:val="16"/>
              </w:rPr>
              <w:t xml:space="preserve"> 23.54 </w:t>
            </w:r>
            <w:proofErr w:type="spellStart"/>
            <w:r>
              <w:rPr>
                <w:rStyle w:val="cell-value"/>
                <w:rFonts w:ascii="Arial Narrow" w:hAnsi="Arial Narrow"/>
                <w:sz w:val="16"/>
                <w:szCs w:val="16"/>
              </w:rPr>
              <w:t>higher</w:t>
            </w:r>
            <w:proofErr w:type="spellEnd"/>
            <w:r>
              <w:rPr>
                <w:rStyle w:val="cell-value"/>
                <w:rFonts w:ascii="Arial Narrow" w:hAnsi="Arial Narrow"/>
                <w:sz w:val="16"/>
                <w:szCs w:val="16"/>
              </w:rPr>
              <w:t>)</w:t>
            </w:r>
          </w:p>
        </w:tc>
        <w:tc>
          <w:tcPr>
            <w:tcW w:w="589" w:type="pct"/>
            <w:tcBorders>
              <w:top w:val="single" w:sz="6" w:space="0" w:color="000000"/>
              <w:left w:val="nil"/>
              <w:bottom w:val="single" w:sz="6" w:space="0" w:color="000000"/>
              <w:right w:val="nil"/>
            </w:tcBorders>
            <w:vAlign w:val="center"/>
          </w:tcPr>
          <w:p w14:paraId="26715055" w14:textId="77777777" w:rsidR="009F5320" w:rsidRDefault="009F5320" w:rsidP="00350225">
            <w:pPr>
              <w:jc w:val="center"/>
              <w:rPr>
                <w:rStyle w:val="cell"/>
                <w:rFonts w:ascii="Arial Narrow" w:hAnsi="Arial Narrow"/>
                <w:sz w:val="16"/>
                <w:szCs w:val="16"/>
              </w:rPr>
            </w:pPr>
            <w:r>
              <w:rPr>
                <w:rStyle w:val="cell"/>
                <w:rFonts w:ascii="Arial Narrow" w:hAnsi="Arial Narrow"/>
                <w:sz w:val="16"/>
                <w:szCs w:val="16"/>
              </w:rPr>
              <w:t>-</w:t>
            </w:r>
          </w:p>
        </w:tc>
        <w:tc>
          <w:tcPr>
            <w:tcW w:w="589" w:type="pct"/>
            <w:tcBorders>
              <w:top w:val="single" w:sz="6" w:space="0" w:color="000000"/>
              <w:left w:val="nil"/>
              <w:bottom w:val="single" w:sz="6" w:space="0" w:color="000000"/>
              <w:right w:val="nil"/>
            </w:tcBorders>
            <w:vAlign w:val="center"/>
          </w:tcPr>
          <w:p w14:paraId="6423A1EC" w14:textId="77777777" w:rsidR="009F5320" w:rsidRDefault="009F5320" w:rsidP="00350225">
            <w:pPr>
              <w:jc w:val="center"/>
              <w:rPr>
                <w:rFonts w:ascii="Arial Narrow" w:hAnsi="Arial Narrow"/>
                <w:sz w:val="16"/>
                <w:szCs w:val="16"/>
              </w:rPr>
            </w:pPr>
            <w:r>
              <w:rPr>
                <w:rFonts w:ascii="Arial Narrow" w:hAnsi="Arial Narrow"/>
                <w:sz w:val="16"/>
                <w:szCs w:val="16"/>
              </w:rPr>
              <w:t>1471</w:t>
            </w:r>
            <w:r>
              <w:rPr>
                <w:rFonts w:ascii="Arial Narrow" w:hAnsi="Arial Narrow"/>
                <w:sz w:val="16"/>
                <w:szCs w:val="16"/>
              </w:rPr>
              <w:br/>
              <w:t xml:space="preserve">(20 </w:t>
            </w:r>
            <w:proofErr w:type="spellStart"/>
            <w:r>
              <w:rPr>
                <w:rFonts w:ascii="Arial Narrow" w:hAnsi="Arial Narrow"/>
                <w:sz w:val="16"/>
                <w:szCs w:val="16"/>
              </w:rPr>
              <w:t>RCTs</w:t>
            </w:r>
            <w:proofErr w:type="spellEnd"/>
            <w:r>
              <w:rPr>
                <w:rFonts w:ascii="Arial Narrow" w:hAnsi="Arial Narrow"/>
                <w:sz w:val="16"/>
                <w:szCs w:val="16"/>
              </w:rPr>
              <w:t>)</w:t>
            </w:r>
          </w:p>
        </w:tc>
        <w:tc>
          <w:tcPr>
            <w:tcW w:w="581" w:type="pct"/>
            <w:tcBorders>
              <w:top w:val="single" w:sz="6" w:space="0" w:color="000000"/>
              <w:left w:val="nil"/>
              <w:bottom w:val="single" w:sz="6" w:space="0" w:color="000000"/>
              <w:right w:val="nil"/>
            </w:tcBorders>
            <w:vAlign w:val="center"/>
          </w:tcPr>
          <w:p w14:paraId="4607BACB" w14:textId="77777777" w:rsidR="009F5320" w:rsidRDefault="009F5320" w:rsidP="00350225">
            <w:pPr>
              <w:jc w:val="center"/>
              <w:rPr>
                <w:rStyle w:val="quality-sign"/>
                <w:rFonts w:ascii="Cambria Math" w:hAnsi="Cambria Math" w:cs="Cambria Math"/>
                <w:sz w:val="21"/>
                <w:szCs w:val="21"/>
              </w:rPr>
            </w:pPr>
            <w:r>
              <w:rPr>
                <w:rStyle w:val="quality-sign"/>
                <w:rFonts w:ascii="Cambria Math" w:hAnsi="Cambria Math" w:cs="Cambria Math"/>
                <w:sz w:val="21"/>
                <w:szCs w:val="21"/>
              </w:rPr>
              <w:t>⨁⨁◯◯</w:t>
            </w:r>
            <w:r>
              <w:rPr>
                <w:rFonts w:ascii="Arial Narrow" w:hAnsi="Arial Narrow"/>
                <w:sz w:val="16"/>
                <w:szCs w:val="16"/>
              </w:rPr>
              <w:br/>
            </w:r>
            <w:proofErr w:type="spellStart"/>
            <w:r>
              <w:rPr>
                <w:rStyle w:val="quality-text"/>
                <w:rFonts w:ascii="Arial Narrow" w:hAnsi="Arial Narrow"/>
                <w:sz w:val="16"/>
                <w:szCs w:val="16"/>
              </w:rPr>
              <w:t>Low</w:t>
            </w:r>
            <w:r>
              <w:rPr>
                <w:rFonts w:ascii="Arial Narrow" w:hAnsi="Arial Narrow"/>
                <w:sz w:val="16"/>
                <w:szCs w:val="16"/>
                <w:vertAlign w:val="superscript"/>
              </w:rPr>
              <w:t>b</w:t>
            </w:r>
            <w:proofErr w:type="spellEnd"/>
          </w:p>
        </w:tc>
        <w:tc>
          <w:tcPr>
            <w:tcW w:w="1292" w:type="pct"/>
            <w:tcBorders>
              <w:top w:val="single" w:sz="6" w:space="0" w:color="000000"/>
              <w:left w:val="nil"/>
              <w:bottom w:val="single" w:sz="6" w:space="0" w:color="000000"/>
              <w:right w:val="nil"/>
            </w:tcBorders>
            <w:vAlign w:val="center"/>
          </w:tcPr>
          <w:p w14:paraId="3195D257" w14:textId="77777777" w:rsidR="009F5320" w:rsidRDefault="009F5320" w:rsidP="00350225">
            <w:pPr>
              <w:jc w:val="center"/>
              <w:rPr>
                <w:rFonts w:ascii="Arial Narrow" w:hAnsi="Arial Narrow"/>
                <w:sz w:val="16"/>
                <w:szCs w:val="16"/>
              </w:rPr>
            </w:pPr>
          </w:p>
        </w:tc>
      </w:tr>
      <w:tr w:rsidR="009F5320" w14:paraId="71C4A2DF" w14:textId="77777777" w:rsidTr="009F5320">
        <w:trPr>
          <w:cantSplit/>
        </w:trPr>
        <w:tc>
          <w:tcPr>
            <w:tcW w:w="770" w:type="pct"/>
            <w:tcBorders>
              <w:top w:val="single" w:sz="6" w:space="0" w:color="000000"/>
              <w:left w:val="nil"/>
              <w:bottom w:val="single" w:sz="6" w:space="0" w:color="000000"/>
              <w:right w:val="nil"/>
            </w:tcBorders>
            <w:vAlign w:val="center"/>
            <w:hideMark/>
          </w:tcPr>
          <w:p w14:paraId="044D9B4E" w14:textId="77777777" w:rsidR="009F5320" w:rsidRDefault="009F5320" w:rsidP="00350225">
            <w:pPr>
              <w:jc w:val="center"/>
              <w:rPr>
                <w:rFonts w:ascii="Arial Narrow" w:hAnsi="Arial Narrow"/>
                <w:sz w:val="16"/>
                <w:szCs w:val="16"/>
              </w:rPr>
            </w:pPr>
            <w:proofErr w:type="spellStart"/>
            <w:r>
              <w:rPr>
                <w:rStyle w:val="label"/>
                <w:rFonts w:ascii="Arial Narrow" w:hAnsi="Arial Narrow"/>
                <w:sz w:val="18"/>
                <w:szCs w:val="18"/>
              </w:rPr>
              <w:t>Number</w:t>
            </w:r>
            <w:proofErr w:type="spellEnd"/>
            <w:r>
              <w:rPr>
                <w:rStyle w:val="label"/>
                <w:rFonts w:ascii="Arial Narrow" w:hAnsi="Arial Narrow"/>
                <w:sz w:val="18"/>
                <w:szCs w:val="18"/>
              </w:rPr>
              <w:t xml:space="preserve"> of </w:t>
            </w:r>
            <w:proofErr w:type="spellStart"/>
            <w:r>
              <w:rPr>
                <w:rStyle w:val="label"/>
                <w:rFonts w:ascii="Arial Narrow" w:hAnsi="Arial Narrow"/>
                <w:sz w:val="18"/>
                <w:szCs w:val="18"/>
              </w:rPr>
              <w:t>patients</w:t>
            </w:r>
            <w:proofErr w:type="spellEnd"/>
            <w:r>
              <w:rPr>
                <w:rStyle w:val="label"/>
                <w:rFonts w:ascii="Arial Narrow" w:hAnsi="Arial Narrow"/>
                <w:sz w:val="18"/>
                <w:szCs w:val="18"/>
              </w:rPr>
              <w:t xml:space="preserve"> </w:t>
            </w:r>
            <w:proofErr w:type="spellStart"/>
            <w:r>
              <w:rPr>
                <w:rStyle w:val="label"/>
                <w:rFonts w:ascii="Arial Narrow" w:hAnsi="Arial Narrow"/>
                <w:sz w:val="18"/>
                <w:szCs w:val="18"/>
              </w:rPr>
              <w:t>need</w:t>
            </w:r>
            <w:proofErr w:type="spellEnd"/>
            <w:r>
              <w:rPr>
                <w:rStyle w:val="label"/>
                <w:rFonts w:ascii="Arial Narrow" w:hAnsi="Arial Narrow"/>
                <w:sz w:val="18"/>
                <w:szCs w:val="18"/>
              </w:rPr>
              <w:t xml:space="preserve"> </w:t>
            </w:r>
            <w:proofErr w:type="spellStart"/>
            <w:r>
              <w:rPr>
                <w:rStyle w:val="label"/>
                <w:rFonts w:ascii="Arial Narrow" w:hAnsi="Arial Narrow"/>
                <w:sz w:val="18"/>
                <w:szCs w:val="18"/>
              </w:rPr>
              <w:t>vasopressor</w:t>
            </w:r>
            <w:proofErr w:type="spellEnd"/>
          </w:p>
        </w:tc>
        <w:tc>
          <w:tcPr>
            <w:tcW w:w="589" w:type="pct"/>
            <w:tcBorders>
              <w:top w:val="single" w:sz="6" w:space="0" w:color="000000"/>
              <w:left w:val="nil"/>
              <w:bottom w:val="single" w:sz="6" w:space="0" w:color="000000"/>
              <w:right w:val="nil"/>
            </w:tcBorders>
            <w:vAlign w:val="center"/>
            <w:hideMark/>
          </w:tcPr>
          <w:p w14:paraId="304BB356" w14:textId="77777777" w:rsidR="009F5320" w:rsidRDefault="009F5320" w:rsidP="00350225">
            <w:pPr>
              <w:rPr>
                <w:rFonts w:ascii="Arial Narrow" w:hAnsi="Arial Narrow"/>
                <w:sz w:val="16"/>
                <w:szCs w:val="16"/>
              </w:rPr>
            </w:pPr>
            <w:r>
              <w:rPr>
                <w:rFonts w:ascii="Arial Narrow" w:hAnsi="Arial Narrow"/>
                <w:sz w:val="16"/>
                <w:szCs w:val="16"/>
              </w:rPr>
              <w:t>548 per 1000</w:t>
            </w:r>
          </w:p>
        </w:tc>
        <w:tc>
          <w:tcPr>
            <w:tcW w:w="589" w:type="pct"/>
            <w:tcBorders>
              <w:top w:val="single" w:sz="6" w:space="0" w:color="000000"/>
              <w:left w:val="nil"/>
              <w:bottom w:val="single" w:sz="6" w:space="0" w:color="000000"/>
              <w:right w:val="nil"/>
            </w:tcBorders>
            <w:shd w:val="clear" w:color="auto" w:fill="EBEBEB"/>
            <w:hideMark/>
          </w:tcPr>
          <w:p w14:paraId="632BC654" w14:textId="77777777" w:rsidR="009F5320" w:rsidRDefault="009F5320" w:rsidP="00350225">
            <w:pPr>
              <w:jc w:val="center"/>
              <w:rPr>
                <w:rFonts w:ascii="Arial Narrow" w:hAnsi="Arial Narrow"/>
                <w:sz w:val="16"/>
                <w:szCs w:val="16"/>
              </w:rPr>
            </w:pPr>
            <w:r>
              <w:rPr>
                <w:rStyle w:val="cell-value"/>
                <w:rFonts w:ascii="Arial Narrow" w:hAnsi="Arial Narrow"/>
                <w:b/>
                <w:bCs/>
                <w:sz w:val="18"/>
                <w:szCs w:val="18"/>
              </w:rPr>
              <w:t>586 per 1000</w:t>
            </w:r>
            <w:r>
              <w:rPr>
                <w:rFonts w:ascii="Arial Narrow" w:hAnsi="Arial Narrow"/>
                <w:sz w:val="18"/>
                <w:szCs w:val="18"/>
              </w:rPr>
              <w:br/>
            </w:r>
            <w:r>
              <w:rPr>
                <w:rStyle w:val="cell-value"/>
                <w:rFonts w:ascii="Arial Narrow" w:hAnsi="Arial Narrow"/>
                <w:sz w:val="18"/>
                <w:szCs w:val="18"/>
              </w:rPr>
              <w:t xml:space="preserve">(548 </w:t>
            </w:r>
            <w:proofErr w:type="spellStart"/>
            <w:r>
              <w:rPr>
                <w:rStyle w:val="cell-value"/>
                <w:rFonts w:ascii="Arial Narrow" w:hAnsi="Arial Narrow"/>
                <w:sz w:val="18"/>
                <w:szCs w:val="18"/>
              </w:rPr>
              <w:t>to</w:t>
            </w:r>
            <w:proofErr w:type="spellEnd"/>
            <w:r>
              <w:rPr>
                <w:rStyle w:val="cell-value"/>
                <w:rFonts w:ascii="Arial Narrow" w:hAnsi="Arial Narrow"/>
                <w:sz w:val="18"/>
                <w:szCs w:val="18"/>
              </w:rPr>
              <w:t xml:space="preserve"> 624)</w:t>
            </w:r>
          </w:p>
        </w:tc>
        <w:tc>
          <w:tcPr>
            <w:tcW w:w="589" w:type="pct"/>
            <w:tcBorders>
              <w:top w:val="single" w:sz="6" w:space="0" w:color="000000"/>
              <w:left w:val="nil"/>
              <w:bottom w:val="single" w:sz="6" w:space="0" w:color="000000"/>
              <w:right w:val="nil"/>
            </w:tcBorders>
            <w:vAlign w:val="center"/>
            <w:hideMark/>
          </w:tcPr>
          <w:p w14:paraId="2164676C" w14:textId="77777777" w:rsidR="009F5320" w:rsidRDefault="009F5320" w:rsidP="00350225">
            <w:pPr>
              <w:jc w:val="center"/>
              <w:rPr>
                <w:rFonts w:ascii="Arial Narrow" w:hAnsi="Arial Narrow"/>
                <w:sz w:val="16"/>
                <w:szCs w:val="16"/>
              </w:rPr>
            </w:pPr>
            <w:r>
              <w:rPr>
                <w:rStyle w:val="block"/>
                <w:rFonts w:ascii="Arial Narrow" w:hAnsi="Arial Narrow"/>
                <w:b/>
                <w:bCs/>
                <w:sz w:val="16"/>
                <w:szCs w:val="16"/>
              </w:rPr>
              <w:t>RR 1.07</w:t>
            </w:r>
            <w:r>
              <w:rPr>
                <w:rFonts w:ascii="Arial Narrow" w:hAnsi="Arial Narrow"/>
                <w:sz w:val="16"/>
                <w:szCs w:val="16"/>
              </w:rPr>
              <w:br/>
            </w:r>
            <w:r>
              <w:rPr>
                <w:rStyle w:val="cell"/>
                <w:rFonts w:ascii="Arial Narrow" w:hAnsi="Arial Narrow"/>
                <w:sz w:val="16"/>
                <w:szCs w:val="16"/>
              </w:rPr>
              <w:t xml:space="preserve">(1.00 </w:t>
            </w:r>
            <w:proofErr w:type="spellStart"/>
            <w:r>
              <w:rPr>
                <w:rStyle w:val="cell"/>
                <w:rFonts w:ascii="Arial Narrow" w:hAnsi="Arial Narrow"/>
                <w:sz w:val="16"/>
                <w:szCs w:val="16"/>
              </w:rPr>
              <w:t>to</w:t>
            </w:r>
            <w:proofErr w:type="spellEnd"/>
            <w:r>
              <w:rPr>
                <w:rStyle w:val="cell"/>
                <w:rFonts w:ascii="Arial Narrow" w:hAnsi="Arial Narrow"/>
                <w:sz w:val="16"/>
                <w:szCs w:val="16"/>
              </w:rPr>
              <w:t xml:space="preserve"> 1.14)</w:t>
            </w:r>
          </w:p>
        </w:tc>
        <w:tc>
          <w:tcPr>
            <w:tcW w:w="589" w:type="pct"/>
            <w:tcBorders>
              <w:top w:val="single" w:sz="6" w:space="0" w:color="000000"/>
              <w:left w:val="nil"/>
              <w:bottom w:val="single" w:sz="6" w:space="0" w:color="000000"/>
              <w:right w:val="nil"/>
            </w:tcBorders>
            <w:vAlign w:val="center"/>
            <w:hideMark/>
          </w:tcPr>
          <w:p w14:paraId="23E06B16" w14:textId="77777777" w:rsidR="009F5320" w:rsidRDefault="009F5320" w:rsidP="00350225">
            <w:pPr>
              <w:jc w:val="center"/>
              <w:rPr>
                <w:rFonts w:ascii="Arial Narrow" w:hAnsi="Arial Narrow"/>
                <w:sz w:val="16"/>
                <w:szCs w:val="16"/>
              </w:rPr>
            </w:pPr>
            <w:r>
              <w:rPr>
                <w:rFonts w:ascii="Arial Narrow" w:hAnsi="Arial Narrow"/>
                <w:sz w:val="16"/>
                <w:szCs w:val="16"/>
              </w:rPr>
              <w:t>1261</w:t>
            </w:r>
            <w:r>
              <w:rPr>
                <w:rFonts w:ascii="Arial Narrow" w:hAnsi="Arial Narrow"/>
                <w:sz w:val="16"/>
                <w:szCs w:val="16"/>
              </w:rPr>
              <w:br/>
              <w:t xml:space="preserve">(14 </w:t>
            </w:r>
            <w:proofErr w:type="spellStart"/>
            <w:r>
              <w:rPr>
                <w:rFonts w:ascii="Arial Narrow" w:hAnsi="Arial Narrow"/>
                <w:sz w:val="16"/>
                <w:szCs w:val="16"/>
              </w:rPr>
              <w:t>RCTs</w:t>
            </w:r>
            <w:proofErr w:type="spellEnd"/>
            <w:r>
              <w:rPr>
                <w:rFonts w:ascii="Arial Narrow" w:hAnsi="Arial Narrow"/>
                <w:sz w:val="16"/>
                <w:szCs w:val="16"/>
              </w:rPr>
              <w:t>)</w:t>
            </w:r>
          </w:p>
        </w:tc>
        <w:tc>
          <w:tcPr>
            <w:tcW w:w="581" w:type="pct"/>
            <w:tcBorders>
              <w:top w:val="single" w:sz="6" w:space="0" w:color="000000"/>
              <w:left w:val="nil"/>
              <w:bottom w:val="single" w:sz="6" w:space="0" w:color="000000"/>
              <w:right w:val="nil"/>
            </w:tcBorders>
            <w:vAlign w:val="center"/>
            <w:hideMark/>
          </w:tcPr>
          <w:p w14:paraId="7378DE17" w14:textId="77777777" w:rsidR="009F5320" w:rsidRDefault="009F5320" w:rsidP="00350225">
            <w:pPr>
              <w:jc w:val="center"/>
              <w:rPr>
                <w:rFonts w:ascii="Arial Narrow" w:hAnsi="Arial Narrow"/>
                <w:sz w:val="16"/>
                <w:szCs w:val="16"/>
              </w:rPr>
            </w:pPr>
            <w:r>
              <w:rPr>
                <w:rStyle w:val="quality-sign"/>
                <w:rFonts w:ascii="Cambria Math" w:hAnsi="Cambria Math" w:cs="Cambria Math"/>
                <w:sz w:val="21"/>
                <w:szCs w:val="21"/>
              </w:rPr>
              <w:t>⨁⨁⨁◯</w:t>
            </w:r>
            <w:r>
              <w:rPr>
                <w:rFonts w:ascii="Arial Narrow" w:hAnsi="Arial Narrow"/>
                <w:sz w:val="16"/>
                <w:szCs w:val="16"/>
              </w:rPr>
              <w:br/>
            </w:r>
            <w:proofErr w:type="spellStart"/>
            <w:r>
              <w:rPr>
                <w:rStyle w:val="quality-text"/>
                <w:rFonts w:ascii="Arial Narrow" w:hAnsi="Arial Narrow"/>
                <w:sz w:val="16"/>
                <w:szCs w:val="16"/>
              </w:rPr>
              <w:t>Moderate</w:t>
            </w:r>
            <w:proofErr w:type="spellEnd"/>
          </w:p>
        </w:tc>
        <w:tc>
          <w:tcPr>
            <w:tcW w:w="1292" w:type="pct"/>
            <w:tcBorders>
              <w:top w:val="single" w:sz="6" w:space="0" w:color="000000"/>
              <w:left w:val="nil"/>
              <w:bottom w:val="single" w:sz="6" w:space="0" w:color="000000"/>
              <w:right w:val="nil"/>
            </w:tcBorders>
            <w:vAlign w:val="center"/>
            <w:hideMark/>
          </w:tcPr>
          <w:p w14:paraId="7EED13E9" w14:textId="77777777" w:rsidR="009F5320" w:rsidRDefault="009F5320" w:rsidP="00350225">
            <w:pPr>
              <w:jc w:val="center"/>
              <w:rPr>
                <w:rFonts w:ascii="Arial Narrow" w:hAnsi="Arial Narrow"/>
                <w:sz w:val="16"/>
                <w:szCs w:val="16"/>
              </w:rPr>
            </w:pPr>
          </w:p>
          <w:p w14:paraId="6821BFB6" w14:textId="77777777" w:rsidR="009F5320" w:rsidRDefault="009F5320" w:rsidP="00350225">
            <w:pPr>
              <w:jc w:val="center"/>
              <w:rPr>
                <w:rFonts w:ascii="Arial Narrow" w:hAnsi="Arial Narrow"/>
                <w:sz w:val="16"/>
                <w:szCs w:val="16"/>
              </w:rPr>
            </w:pPr>
          </w:p>
        </w:tc>
      </w:tr>
      <w:tr w:rsidR="009F5320" w14:paraId="7775F879" w14:textId="77777777" w:rsidTr="009F5320">
        <w:trPr>
          <w:cantSplit/>
        </w:trPr>
        <w:tc>
          <w:tcPr>
            <w:tcW w:w="770" w:type="pct"/>
            <w:tcBorders>
              <w:top w:val="single" w:sz="6" w:space="0" w:color="000000"/>
              <w:left w:val="nil"/>
              <w:bottom w:val="single" w:sz="6" w:space="0" w:color="000000"/>
              <w:right w:val="nil"/>
            </w:tcBorders>
            <w:vAlign w:val="center"/>
          </w:tcPr>
          <w:p w14:paraId="1FA94B96" w14:textId="77777777" w:rsidR="009F5320" w:rsidRDefault="009F5320" w:rsidP="00350225">
            <w:pPr>
              <w:jc w:val="center"/>
              <w:rPr>
                <w:rStyle w:val="label"/>
                <w:rFonts w:ascii="Arial Narrow" w:hAnsi="Arial Narrow"/>
                <w:sz w:val="18"/>
                <w:szCs w:val="18"/>
              </w:rPr>
            </w:pPr>
            <w:r>
              <w:rPr>
                <w:rStyle w:val="label"/>
                <w:rFonts w:ascii="Arial Narrow" w:hAnsi="Arial Narrow"/>
                <w:sz w:val="18"/>
                <w:szCs w:val="18"/>
              </w:rPr>
              <w:t xml:space="preserve">Maximum </w:t>
            </w:r>
            <w:proofErr w:type="spellStart"/>
            <w:r>
              <w:rPr>
                <w:rStyle w:val="label"/>
                <w:rFonts w:ascii="Arial Narrow" w:hAnsi="Arial Narrow"/>
                <w:sz w:val="18"/>
                <w:szCs w:val="18"/>
              </w:rPr>
              <w:t>dose</w:t>
            </w:r>
            <w:proofErr w:type="spellEnd"/>
            <w:r>
              <w:rPr>
                <w:rStyle w:val="label"/>
                <w:rFonts w:ascii="Arial Narrow" w:hAnsi="Arial Narrow"/>
                <w:sz w:val="18"/>
                <w:szCs w:val="18"/>
              </w:rPr>
              <w:t xml:space="preserve"> of </w:t>
            </w:r>
            <w:proofErr w:type="spellStart"/>
            <w:r>
              <w:rPr>
                <w:rStyle w:val="label"/>
                <w:rFonts w:ascii="Arial Narrow" w:hAnsi="Arial Narrow"/>
                <w:sz w:val="18"/>
                <w:szCs w:val="18"/>
              </w:rPr>
              <w:t>norepinephrine</w:t>
            </w:r>
            <w:proofErr w:type="spellEnd"/>
          </w:p>
        </w:tc>
        <w:tc>
          <w:tcPr>
            <w:tcW w:w="589" w:type="pct"/>
            <w:tcBorders>
              <w:top w:val="single" w:sz="6" w:space="0" w:color="000000"/>
              <w:left w:val="nil"/>
              <w:bottom w:val="single" w:sz="6" w:space="0" w:color="000000"/>
              <w:right w:val="nil"/>
            </w:tcBorders>
            <w:vAlign w:val="center"/>
          </w:tcPr>
          <w:p w14:paraId="3CC575A9" w14:textId="77777777" w:rsidR="009F5320" w:rsidRDefault="009F5320" w:rsidP="00350225">
            <w:pPr>
              <w:rPr>
                <w:rFonts w:ascii="Arial Narrow" w:hAnsi="Arial Narrow"/>
                <w:sz w:val="16"/>
                <w:szCs w:val="16"/>
              </w:rPr>
            </w:pPr>
            <w:r>
              <w:rPr>
                <w:rStyle w:val="cell-value"/>
                <w:rFonts w:ascii="Arial Narrow" w:hAnsi="Arial Narrow"/>
                <w:sz w:val="16"/>
                <w:szCs w:val="16"/>
              </w:rPr>
              <w:t xml:space="preserve">The </w:t>
            </w:r>
            <w:proofErr w:type="spellStart"/>
            <w:r>
              <w:rPr>
                <w:rStyle w:val="cell-value"/>
                <w:rFonts w:ascii="Arial Narrow" w:hAnsi="Arial Narrow"/>
                <w:sz w:val="16"/>
                <w:szCs w:val="16"/>
              </w:rPr>
              <w:t>mean</w:t>
            </w:r>
            <w:proofErr w:type="spellEnd"/>
            <w:r>
              <w:rPr>
                <w:rStyle w:val="cell-value"/>
                <w:rFonts w:ascii="Arial Narrow" w:hAnsi="Arial Narrow"/>
                <w:sz w:val="16"/>
                <w:szCs w:val="16"/>
              </w:rPr>
              <w:t xml:space="preserve"> maximum </w:t>
            </w:r>
            <w:proofErr w:type="spellStart"/>
            <w:r>
              <w:rPr>
                <w:rStyle w:val="cell-value"/>
                <w:rFonts w:ascii="Arial Narrow" w:hAnsi="Arial Narrow"/>
                <w:sz w:val="16"/>
                <w:szCs w:val="16"/>
              </w:rPr>
              <w:t>dose</w:t>
            </w:r>
            <w:proofErr w:type="spellEnd"/>
            <w:r>
              <w:rPr>
                <w:rStyle w:val="cell-value"/>
                <w:rFonts w:ascii="Arial Narrow" w:hAnsi="Arial Narrow"/>
                <w:sz w:val="16"/>
                <w:szCs w:val="16"/>
              </w:rPr>
              <w:t xml:space="preserve"> of </w:t>
            </w:r>
            <w:proofErr w:type="spellStart"/>
            <w:r>
              <w:rPr>
                <w:rStyle w:val="cell-value"/>
                <w:rFonts w:ascii="Arial Narrow" w:hAnsi="Arial Narrow"/>
                <w:sz w:val="16"/>
                <w:szCs w:val="16"/>
              </w:rPr>
              <w:t>norepinephrine</w:t>
            </w:r>
            <w:proofErr w:type="spellEnd"/>
            <w:r>
              <w:rPr>
                <w:rStyle w:val="cell-value"/>
                <w:rFonts w:ascii="Arial Narrow" w:hAnsi="Arial Narrow"/>
                <w:sz w:val="16"/>
                <w:szCs w:val="16"/>
              </w:rPr>
              <w:t xml:space="preserve"> </w:t>
            </w:r>
            <w:proofErr w:type="spellStart"/>
            <w:r>
              <w:rPr>
                <w:rStyle w:val="cell-value"/>
                <w:rFonts w:ascii="Arial Narrow" w:hAnsi="Arial Narrow"/>
                <w:sz w:val="16"/>
                <w:szCs w:val="16"/>
              </w:rPr>
              <w:t>was</w:t>
            </w:r>
            <w:proofErr w:type="spellEnd"/>
            <w:r>
              <w:rPr>
                <w:rStyle w:val="cell-value"/>
                <w:rFonts w:ascii="Arial Narrow" w:hAnsi="Arial Narrow"/>
                <w:sz w:val="16"/>
                <w:szCs w:val="16"/>
              </w:rPr>
              <w:t xml:space="preserve"> </w:t>
            </w:r>
            <w:r>
              <w:rPr>
                <w:rStyle w:val="cell-value"/>
                <w:rFonts w:ascii="Arial Narrow" w:hAnsi="Arial Narrow"/>
                <w:b/>
                <w:bCs/>
                <w:sz w:val="16"/>
                <w:szCs w:val="16"/>
              </w:rPr>
              <w:t>0</w:t>
            </w:r>
            <w:r>
              <w:rPr>
                <w:rStyle w:val="cell-value"/>
                <w:rFonts w:ascii="Arial Narrow" w:hAnsi="Arial Narrow"/>
                <w:sz w:val="16"/>
                <w:szCs w:val="16"/>
              </w:rPr>
              <w:t xml:space="preserve"> </w:t>
            </w:r>
            <w:proofErr w:type="spellStart"/>
            <w:r>
              <w:rPr>
                <w:rStyle w:val="cell-value"/>
                <w:rFonts w:ascii="Arial Narrow" w:hAnsi="Arial Narrow"/>
                <w:sz w:val="16"/>
                <w:szCs w:val="16"/>
              </w:rPr>
              <w:t>ug</w:t>
            </w:r>
            <w:proofErr w:type="spellEnd"/>
            <w:r>
              <w:rPr>
                <w:rStyle w:val="cell-value"/>
                <w:rFonts w:ascii="Arial Narrow" w:hAnsi="Arial Narrow"/>
                <w:sz w:val="16"/>
                <w:szCs w:val="16"/>
              </w:rPr>
              <w:t>/kg/min</w:t>
            </w:r>
          </w:p>
        </w:tc>
        <w:tc>
          <w:tcPr>
            <w:tcW w:w="589" w:type="pct"/>
            <w:tcBorders>
              <w:top w:val="single" w:sz="6" w:space="0" w:color="000000"/>
              <w:left w:val="nil"/>
              <w:bottom w:val="single" w:sz="6" w:space="0" w:color="000000"/>
              <w:right w:val="nil"/>
            </w:tcBorders>
            <w:shd w:val="clear" w:color="auto" w:fill="EBEBEB"/>
          </w:tcPr>
          <w:p w14:paraId="7E3FA8C3" w14:textId="77777777" w:rsidR="009F5320" w:rsidRDefault="009F5320" w:rsidP="00350225">
            <w:pPr>
              <w:jc w:val="center"/>
              <w:rPr>
                <w:rStyle w:val="cell-value"/>
                <w:rFonts w:ascii="Arial Narrow" w:hAnsi="Arial Narrow"/>
                <w:b/>
                <w:bCs/>
                <w:sz w:val="18"/>
                <w:szCs w:val="18"/>
              </w:rPr>
            </w:pPr>
            <w:r>
              <w:rPr>
                <w:rStyle w:val="cell-value"/>
                <w:rFonts w:ascii="Arial Narrow" w:hAnsi="Arial Narrow"/>
                <w:sz w:val="16"/>
                <w:szCs w:val="16"/>
              </w:rPr>
              <w:t xml:space="preserve">MD </w:t>
            </w:r>
            <w:r>
              <w:rPr>
                <w:rStyle w:val="cell-value"/>
                <w:rFonts w:ascii="Arial Narrow" w:hAnsi="Arial Narrow"/>
                <w:b/>
                <w:bCs/>
                <w:sz w:val="16"/>
                <w:szCs w:val="16"/>
              </w:rPr>
              <w:t xml:space="preserve">0.19 </w:t>
            </w:r>
            <w:proofErr w:type="spellStart"/>
            <w:r>
              <w:rPr>
                <w:rStyle w:val="cell-value"/>
                <w:rFonts w:ascii="Arial Narrow" w:hAnsi="Arial Narrow"/>
                <w:b/>
                <w:bCs/>
                <w:sz w:val="16"/>
                <w:szCs w:val="16"/>
              </w:rPr>
              <w:t>ug</w:t>
            </w:r>
            <w:proofErr w:type="spellEnd"/>
            <w:r>
              <w:rPr>
                <w:rStyle w:val="cell-value"/>
                <w:rFonts w:ascii="Arial Narrow" w:hAnsi="Arial Narrow"/>
                <w:b/>
                <w:bCs/>
                <w:sz w:val="16"/>
                <w:szCs w:val="16"/>
              </w:rPr>
              <w:t xml:space="preserve">/kg/min </w:t>
            </w:r>
            <w:proofErr w:type="spellStart"/>
            <w:r>
              <w:rPr>
                <w:rStyle w:val="cell-value"/>
                <w:rFonts w:ascii="Arial Narrow" w:hAnsi="Arial Narrow"/>
                <w:b/>
                <w:bCs/>
                <w:sz w:val="16"/>
                <w:szCs w:val="16"/>
              </w:rPr>
              <w:t>lower</w:t>
            </w:r>
            <w:proofErr w:type="spellEnd"/>
            <w:r>
              <w:rPr>
                <w:rFonts w:ascii="Arial Narrow" w:hAnsi="Arial Narrow"/>
                <w:sz w:val="16"/>
                <w:szCs w:val="16"/>
              </w:rPr>
              <w:br/>
            </w:r>
            <w:r>
              <w:rPr>
                <w:rStyle w:val="cell-value"/>
                <w:rFonts w:ascii="Arial Narrow" w:hAnsi="Arial Narrow"/>
                <w:sz w:val="16"/>
                <w:szCs w:val="16"/>
              </w:rPr>
              <w:t xml:space="preserve">(2.4 </w:t>
            </w:r>
            <w:proofErr w:type="spellStart"/>
            <w:r>
              <w:rPr>
                <w:rStyle w:val="cell-value"/>
                <w:rFonts w:ascii="Arial Narrow" w:hAnsi="Arial Narrow"/>
                <w:sz w:val="16"/>
                <w:szCs w:val="16"/>
              </w:rPr>
              <w:t>lower</w:t>
            </w:r>
            <w:proofErr w:type="spellEnd"/>
            <w:r>
              <w:rPr>
                <w:rStyle w:val="cell-value"/>
                <w:rFonts w:ascii="Arial Narrow" w:hAnsi="Arial Narrow"/>
                <w:sz w:val="16"/>
                <w:szCs w:val="16"/>
              </w:rPr>
              <w:t xml:space="preserve"> </w:t>
            </w:r>
            <w:proofErr w:type="spellStart"/>
            <w:r>
              <w:rPr>
                <w:rStyle w:val="cell-value"/>
                <w:rFonts w:ascii="Arial Narrow" w:hAnsi="Arial Narrow"/>
                <w:sz w:val="16"/>
                <w:szCs w:val="16"/>
              </w:rPr>
              <w:t>to</w:t>
            </w:r>
            <w:proofErr w:type="spellEnd"/>
            <w:r>
              <w:rPr>
                <w:rStyle w:val="cell-value"/>
                <w:rFonts w:ascii="Arial Narrow" w:hAnsi="Arial Narrow"/>
                <w:sz w:val="16"/>
                <w:szCs w:val="16"/>
              </w:rPr>
              <w:t xml:space="preserve"> 2.01 </w:t>
            </w:r>
            <w:proofErr w:type="spellStart"/>
            <w:r>
              <w:rPr>
                <w:rStyle w:val="cell-value"/>
                <w:rFonts w:ascii="Arial Narrow" w:hAnsi="Arial Narrow"/>
                <w:sz w:val="16"/>
                <w:szCs w:val="16"/>
              </w:rPr>
              <w:t>higher</w:t>
            </w:r>
            <w:proofErr w:type="spellEnd"/>
            <w:r>
              <w:rPr>
                <w:rStyle w:val="cell-value"/>
                <w:rFonts w:ascii="Arial Narrow" w:hAnsi="Arial Narrow"/>
                <w:sz w:val="16"/>
                <w:szCs w:val="16"/>
              </w:rPr>
              <w:t>)</w:t>
            </w:r>
          </w:p>
        </w:tc>
        <w:tc>
          <w:tcPr>
            <w:tcW w:w="589" w:type="pct"/>
            <w:tcBorders>
              <w:top w:val="single" w:sz="6" w:space="0" w:color="000000"/>
              <w:left w:val="nil"/>
              <w:bottom w:val="single" w:sz="6" w:space="0" w:color="000000"/>
              <w:right w:val="nil"/>
            </w:tcBorders>
            <w:vAlign w:val="center"/>
          </w:tcPr>
          <w:p w14:paraId="6B3A2EE8" w14:textId="77777777" w:rsidR="009F5320" w:rsidRDefault="009F5320" w:rsidP="00350225">
            <w:pPr>
              <w:jc w:val="center"/>
              <w:rPr>
                <w:rStyle w:val="block"/>
                <w:rFonts w:ascii="Arial Narrow" w:hAnsi="Arial Narrow"/>
                <w:b/>
                <w:bCs/>
                <w:sz w:val="16"/>
                <w:szCs w:val="16"/>
              </w:rPr>
            </w:pPr>
            <w:r>
              <w:rPr>
                <w:rStyle w:val="cell"/>
                <w:rFonts w:ascii="Arial Narrow" w:hAnsi="Arial Narrow"/>
                <w:sz w:val="16"/>
                <w:szCs w:val="16"/>
              </w:rPr>
              <w:t>-</w:t>
            </w:r>
          </w:p>
        </w:tc>
        <w:tc>
          <w:tcPr>
            <w:tcW w:w="589" w:type="pct"/>
            <w:tcBorders>
              <w:top w:val="single" w:sz="6" w:space="0" w:color="000000"/>
              <w:left w:val="nil"/>
              <w:bottom w:val="single" w:sz="6" w:space="0" w:color="000000"/>
              <w:right w:val="nil"/>
            </w:tcBorders>
            <w:vAlign w:val="center"/>
          </w:tcPr>
          <w:p w14:paraId="3226740A" w14:textId="77777777" w:rsidR="009F5320" w:rsidRDefault="009F5320" w:rsidP="00350225">
            <w:pPr>
              <w:jc w:val="center"/>
              <w:rPr>
                <w:rFonts w:ascii="Arial Narrow" w:hAnsi="Arial Narrow"/>
                <w:sz w:val="16"/>
                <w:szCs w:val="16"/>
              </w:rPr>
            </w:pPr>
            <w:r>
              <w:rPr>
                <w:rFonts w:ascii="Arial Narrow" w:hAnsi="Arial Narrow"/>
                <w:sz w:val="16"/>
                <w:szCs w:val="16"/>
              </w:rPr>
              <w:t>157</w:t>
            </w:r>
            <w:r>
              <w:rPr>
                <w:rFonts w:ascii="Arial Narrow" w:hAnsi="Arial Narrow"/>
                <w:sz w:val="16"/>
                <w:szCs w:val="16"/>
              </w:rPr>
              <w:br/>
              <w:t xml:space="preserve">(4 </w:t>
            </w:r>
            <w:proofErr w:type="spellStart"/>
            <w:r>
              <w:rPr>
                <w:rFonts w:ascii="Arial Narrow" w:hAnsi="Arial Narrow"/>
                <w:sz w:val="16"/>
                <w:szCs w:val="16"/>
              </w:rPr>
              <w:t>RCTs</w:t>
            </w:r>
            <w:proofErr w:type="spellEnd"/>
            <w:r>
              <w:rPr>
                <w:rFonts w:ascii="Arial Narrow" w:hAnsi="Arial Narrow"/>
                <w:sz w:val="16"/>
                <w:szCs w:val="16"/>
              </w:rPr>
              <w:t>)</w:t>
            </w:r>
          </w:p>
        </w:tc>
        <w:tc>
          <w:tcPr>
            <w:tcW w:w="581" w:type="pct"/>
            <w:tcBorders>
              <w:top w:val="single" w:sz="6" w:space="0" w:color="000000"/>
              <w:left w:val="nil"/>
              <w:bottom w:val="single" w:sz="6" w:space="0" w:color="000000"/>
              <w:right w:val="nil"/>
            </w:tcBorders>
            <w:vAlign w:val="center"/>
          </w:tcPr>
          <w:p w14:paraId="083E83EB" w14:textId="77777777" w:rsidR="009F5320" w:rsidRDefault="009F5320" w:rsidP="00350225">
            <w:pPr>
              <w:jc w:val="center"/>
              <w:rPr>
                <w:rStyle w:val="quality-sign"/>
                <w:rFonts w:ascii="Cambria Math" w:hAnsi="Cambria Math" w:cs="Cambria Math"/>
                <w:sz w:val="21"/>
                <w:szCs w:val="21"/>
              </w:rPr>
            </w:pPr>
            <w:r>
              <w:rPr>
                <w:rStyle w:val="quality-sign"/>
                <w:rFonts w:ascii="Cambria Math" w:hAnsi="Cambria Math" w:cs="Cambria Math"/>
                <w:sz w:val="21"/>
                <w:szCs w:val="21"/>
              </w:rPr>
              <w:t>⨁⨁◯◯</w:t>
            </w:r>
            <w:r>
              <w:rPr>
                <w:rFonts w:ascii="Arial Narrow" w:hAnsi="Arial Narrow"/>
                <w:sz w:val="16"/>
                <w:szCs w:val="16"/>
              </w:rPr>
              <w:br/>
            </w:r>
            <w:r>
              <w:rPr>
                <w:rStyle w:val="quality-text"/>
                <w:rFonts w:ascii="Arial Narrow" w:hAnsi="Arial Narrow"/>
                <w:sz w:val="16"/>
                <w:szCs w:val="16"/>
              </w:rPr>
              <w:t>Low</w:t>
            </w:r>
          </w:p>
        </w:tc>
        <w:tc>
          <w:tcPr>
            <w:tcW w:w="1292" w:type="pct"/>
            <w:tcBorders>
              <w:top w:val="single" w:sz="6" w:space="0" w:color="000000"/>
              <w:left w:val="nil"/>
              <w:bottom w:val="single" w:sz="6" w:space="0" w:color="000000"/>
              <w:right w:val="nil"/>
            </w:tcBorders>
            <w:vAlign w:val="center"/>
          </w:tcPr>
          <w:p w14:paraId="61579181" w14:textId="77777777" w:rsidR="009F5320" w:rsidRDefault="009F5320" w:rsidP="00350225">
            <w:pPr>
              <w:jc w:val="center"/>
              <w:rPr>
                <w:rFonts w:ascii="Arial Narrow" w:hAnsi="Arial Narrow"/>
                <w:sz w:val="16"/>
                <w:szCs w:val="16"/>
              </w:rPr>
            </w:pPr>
          </w:p>
        </w:tc>
      </w:tr>
      <w:tr w:rsidR="009F5320" w14:paraId="3CE1B20B" w14:textId="77777777" w:rsidTr="009F5320">
        <w:trPr>
          <w:cantSplit/>
        </w:trPr>
        <w:tc>
          <w:tcPr>
            <w:tcW w:w="770" w:type="pct"/>
            <w:tcBorders>
              <w:top w:val="single" w:sz="6" w:space="0" w:color="000000"/>
              <w:left w:val="nil"/>
              <w:bottom w:val="single" w:sz="6" w:space="0" w:color="000000"/>
              <w:right w:val="nil"/>
            </w:tcBorders>
            <w:vAlign w:val="center"/>
            <w:hideMark/>
          </w:tcPr>
          <w:p w14:paraId="03CA2868" w14:textId="6C109D22" w:rsidR="009F5320" w:rsidRDefault="00665F22" w:rsidP="00350225">
            <w:pPr>
              <w:jc w:val="center"/>
              <w:rPr>
                <w:rFonts w:ascii="Arial Narrow" w:hAnsi="Arial Narrow"/>
                <w:sz w:val="16"/>
                <w:szCs w:val="16"/>
              </w:rPr>
            </w:pPr>
            <w:proofErr w:type="spellStart"/>
            <w:r>
              <w:rPr>
                <w:rStyle w:val="label"/>
                <w:rFonts w:ascii="Arial Narrow" w:hAnsi="Arial Narrow"/>
                <w:sz w:val="18"/>
                <w:szCs w:val="18"/>
              </w:rPr>
              <w:lastRenderedPageBreak/>
              <w:t>Respiratory</w:t>
            </w:r>
            <w:proofErr w:type="spellEnd"/>
            <w:r w:rsidR="009F5320">
              <w:rPr>
                <w:rStyle w:val="label"/>
                <w:rFonts w:ascii="Arial Narrow" w:hAnsi="Arial Narrow"/>
                <w:sz w:val="18"/>
                <w:szCs w:val="18"/>
              </w:rPr>
              <w:t xml:space="preserve"> </w:t>
            </w:r>
            <w:proofErr w:type="spellStart"/>
            <w:r w:rsidR="009F5320">
              <w:rPr>
                <w:rStyle w:val="label"/>
                <w:rFonts w:ascii="Arial Narrow" w:hAnsi="Arial Narrow"/>
                <w:sz w:val="18"/>
                <w:szCs w:val="18"/>
              </w:rPr>
              <w:t>compliance</w:t>
            </w:r>
            <w:proofErr w:type="spellEnd"/>
            <w:r w:rsidR="009F5320">
              <w:rPr>
                <w:rStyle w:val="label"/>
                <w:rFonts w:ascii="Arial Narrow" w:hAnsi="Arial Narrow"/>
                <w:sz w:val="18"/>
                <w:szCs w:val="18"/>
              </w:rPr>
              <w:t xml:space="preserve"> (</w:t>
            </w:r>
            <w:proofErr w:type="spellStart"/>
            <w:r w:rsidR="009F5320">
              <w:rPr>
                <w:rStyle w:val="label"/>
                <w:rFonts w:ascii="Arial Narrow" w:hAnsi="Arial Narrow"/>
                <w:sz w:val="18"/>
                <w:szCs w:val="18"/>
              </w:rPr>
              <w:t>dynmic</w:t>
            </w:r>
            <w:proofErr w:type="spellEnd"/>
            <w:r w:rsidR="009F5320">
              <w:rPr>
                <w:rStyle w:val="label"/>
                <w:rFonts w:ascii="Arial Narrow" w:hAnsi="Arial Narrow"/>
                <w:sz w:val="18"/>
                <w:szCs w:val="18"/>
              </w:rPr>
              <w:t xml:space="preserve">) </w:t>
            </w:r>
            <w:r w:rsidR="009F5320">
              <w:rPr>
                <w:rStyle w:val="short-name"/>
                <w:rFonts w:ascii="Arial Narrow" w:hAnsi="Arial Narrow"/>
                <w:sz w:val="18"/>
                <w:szCs w:val="18"/>
              </w:rPr>
              <w:t>(</w:t>
            </w:r>
            <w:proofErr w:type="spellStart"/>
            <w:r w:rsidR="009F5320">
              <w:rPr>
                <w:rStyle w:val="short-name"/>
                <w:rFonts w:ascii="Arial Narrow" w:hAnsi="Arial Narrow"/>
                <w:sz w:val="18"/>
                <w:szCs w:val="18"/>
              </w:rPr>
              <w:t>Cdyn</w:t>
            </w:r>
            <w:proofErr w:type="spellEnd"/>
            <w:r w:rsidR="009F5320">
              <w:rPr>
                <w:rStyle w:val="short-name"/>
                <w:rFonts w:ascii="Arial Narrow" w:hAnsi="Arial Narrow"/>
                <w:sz w:val="18"/>
                <w:szCs w:val="18"/>
              </w:rPr>
              <w:t>)</w:t>
            </w:r>
          </w:p>
        </w:tc>
        <w:tc>
          <w:tcPr>
            <w:tcW w:w="589" w:type="pct"/>
            <w:tcBorders>
              <w:top w:val="single" w:sz="6" w:space="0" w:color="000000"/>
              <w:left w:val="nil"/>
              <w:bottom w:val="single" w:sz="6" w:space="0" w:color="000000"/>
              <w:right w:val="nil"/>
            </w:tcBorders>
            <w:shd w:val="clear" w:color="auto" w:fill="EBEBEB"/>
            <w:vAlign w:val="center"/>
            <w:hideMark/>
          </w:tcPr>
          <w:p w14:paraId="7D7CC75D" w14:textId="555DEB66" w:rsidR="009F5320" w:rsidRDefault="009F5320" w:rsidP="00350225">
            <w:pPr>
              <w:jc w:val="center"/>
              <w:rPr>
                <w:rFonts w:ascii="Arial Narrow" w:hAnsi="Arial Narrow"/>
                <w:sz w:val="16"/>
                <w:szCs w:val="16"/>
              </w:rPr>
            </w:pPr>
            <w:r>
              <w:rPr>
                <w:rStyle w:val="cell-value"/>
                <w:rFonts w:ascii="Arial Narrow" w:hAnsi="Arial Narrow"/>
                <w:sz w:val="16"/>
                <w:szCs w:val="16"/>
              </w:rPr>
              <w:t xml:space="preserve">The </w:t>
            </w:r>
            <w:proofErr w:type="spellStart"/>
            <w:r>
              <w:rPr>
                <w:rStyle w:val="cell-value"/>
                <w:rFonts w:ascii="Arial Narrow" w:hAnsi="Arial Narrow"/>
                <w:sz w:val="16"/>
                <w:szCs w:val="16"/>
              </w:rPr>
              <w:t>mean</w:t>
            </w:r>
            <w:proofErr w:type="spellEnd"/>
            <w:r>
              <w:rPr>
                <w:rStyle w:val="cell-value"/>
                <w:rFonts w:ascii="Arial Narrow" w:hAnsi="Arial Narrow"/>
                <w:sz w:val="16"/>
                <w:szCs w:val="16"/>
              </w:rPr>
              <w:t xml:space="preserve"> </w:t>
            </w:r>
            <w:proofErr w:type="spellStart"/>
            <w:r w:rsidR="00FF1AA0">
              <w:rPr>
                <w:rStyle w:val="cell-value"/>
                <w:rFonts w:ascii="Arial Narrow" w:hAnsi="Arial Narrow"/>
                <w:sz w:val="16"/>
                <w:szCs w:val="16"/>
              </w:rPr>
              <w:t>respiratory</w:t>
            </w:r>
            <w:proofErr w:type="spellEnd"/>
            <w:r>
              <w:rPr>
                <w:rStyle w:val="cell-value"/>
                <w:rFonts w:ascii="Arial Narrow" w:hAnsi="Arial Narrow"/>
                <w:sz w:val="16"/>
                <w:szCs w:val="16"/>
              </w:rPr>
              <w:t xml:space="preserve"> </w:t>
            </w:r>
            <w:proofErr w:type="spellStart"/>
            <w:r>
              <w:rPr>
                <w:rStyle w:val="cell-value"/>
                <w:rFonts w:ascii="Arial Narrow" w:hAnsi="Arial Narrow"/>
                <w:sz w:val="16"/>
                <w:szCs w:val="16"/>
              </w:rPr>
              <w:t>compliance</w:t>
            </w:r>
            <w:proofErr w:type="spellEnd"/>
            <w:r>
              <w:rPr>
                <w:rStyle w:val="cell-value"/>
                <w:rFonts w:ascii="Arial Narrow" w:hAnsi="Arial Narrow"/>
                <w:sz w:val="16"/>
                <w:szCs w:val="16"/>
              </w:rPr>
              <w:t xml:space="preserve"> (</w:t>
            </w:r>
            <w:proofErr w:type="spellStart"/>
            <w:r>
              <w:rPr>
                <w:rStyle w:val="cell-value"/>
                <w:rFonts w:ascii="Arial Narrow" w:hAnsi="Arial Narrow"/>
                <w:sz w:val="16"/>
                <w:szCs w:val="16"/>
              </w:rPr>
              <w:t>dynmic</w:t>
            </w:r>
            <w:proofErr w:type="spellEnd"/>
            <w:r>
              <w:rPr>
                <w:rStyle w:val="cell-value"/>
                <w:rFonts w:ascii="Arial Narrow" w:hAnsi="Arial Narrow"/>
                <w:sz w:val="16"/>
                <w:szCs w:val="16"/>
              </w:rPr>
              <w:t xml:space="preserve">) </w:t>
            </w:r>
            <w:proofErr w:type="spellStart"/>
            <w:r>
              <w:rPr>
                <w:rStyle w:val="cell-value"/>
                <w:rFonts w:ascii="Arial Narrow" w:hAnsi="Arial Narrow"/>
                <w:sz w:val="16"/>
                <w:szCs w:val="16"/>
              </w:rPr>
              <w:t>was</w:t>
            </w:r>
            <w:proofErr w:type="spellEnd"/>
            <w:r>
              <w:rPr>
                <w:rStyle w:val="cell-value"/>
                <w:rFonts w:ascii="Arial Narrow" w:hAnsi="Arial Narrow"/>
                <w:sz w:val="16"/>
                <w:szCs w:val="16"/>
              </w:rPr>
              <w:t xml:space="preserve"> </w:t>
            </w:r>
            <w:r>
              <w:rPr>
                <w:rStyle w:val="cell-value"/>
                <w:rFonts w:ascii="Arial Narrow" w:hAnsi="Arial Narrow"/>
                <w:b/>
                <w:bCs/>
                <w:sz w:val="16"/>
                <w:szCs w:val="16"/>
              </w:rPr>
              <w:t>0</w:t>
            </w:r>
            <w:r>
              <w:rPr>
                <w:rStyle w:val="cell-value"/>
                <w:rFonts w:ascii="Arial Narrow" w:hAnsi="Arial Narrow"/>
                <w:sz w:val="16"/>
                <w:szCs w:val="16"/>
              </w:rPr>
              <w:t xml:space="preserve"> cmH2O</w:t>
            </w:r>
          </w:p>
        </w:tc>
        <w:tc>
          <w:tcPr>
            <w:tcW w:w="589" w:type="pct"/>
            <w:tcBorders>
              <w:top w:val="single" w:sz="6" w:space="0" w:color="000000"/>
              <w:left w:val="nil"/>
              <w:bottom w:val="single" w:sz="6" w:space="0" w:color="000000"/>
              <w:right w:val="nil"/>
            </w:tcBorders>
            <w:shd w:val="clear" w:color="auto" w:fill="EBEBEB"/>
            <w:hideMark/>
          </w:tcPr>
          <w:p w14:paraId="36F933B8" w14:textId="77777777" w:rsidR="009F5320" w:rsidRDefault="009F5320" w:rsidP="00350225">
            <w:pPr>
              <w:jc w:val="center"/>
              <w:rPr>
                <w:rFonts w:ascii="Arial Narrow" w:hAnsi="Arial Narrow"/>
                <w:sz w:val="16"/>
                <w:szCs w:val="16"/>
              </w:rPr>
            </w:pPr>
            <w:r>
              <w:rPr>
                <w:rStyle w:val="cell-value"/>
                <w:rFonts w:ascii="Arial Narrow" w:hAnsi="Arial Narrow"/>
                <w:sz w:val="16"/>
                <w:szCs w:val="16"/>
              </w:rPr>
              <w:t xml:space="preserve">MD </w:t>
            </w:r>
            <w:r>
              <w:rPr>
                <w:rStyle w:val="cell-value"/>
                <w:rFonts w:ascii="Arial Narrow" w:hAnsi="Arial Narrow"/>
                <w:b/>
                <w:bCs/>
                <w:sz w:val="16"/>
                <w:szCs w:val="16"/>
              </w:rPr>
              <w:t xml:space="preserve">3.26 cmH2O </w:t>
            </w:r>
            <w:proofErr w:type="spellStart"/>
            <w:r>
              <w:rPr>
                <w:rStyle w:val="cell-value"/>
                <w:rFonts w:ascii="Arial Narrow" w:hAnsi="Arial Narrow"/>
                <w:b/>
                <w:bCs/>
                <w:sz w:val="16"/>
                <w:szCs w:val="16"/>
              </w:rPr>
              <w:t>higher</w:t>
            </w:r>
            <w:proofErr w:type="spellEnd"/>
            <w:r>
              <w:rPr>
                <w:rFonts w:ascii="Arial Narrow" w:hAnsi="Arial Narrow"/>
                <w:sz w:val="16"/>
                <w:szCs w:val="16"/>
              </w:rPr>
              <w:br/>
            </w:r>
            <w:r>
              <w:rPr>
                <w:rStyle w:val="cell-value"/>
                <w:rFonts w:ascii="Arial Narrow" w:hAnsi="Arial Narrow"/>
                <w:sz w:val="16"/>
                <w:szCs w:val="16"/>
              </w:rPr>
              <w:t xml:space="preserve">(0.08 </w:t>
            </w:r>
            <w:proofErr w:type="spellStart"/>
            <w:r>
              <w:rPr>
                <w:rStyle w:val="cell-value"/>
                <w:rFonts w:ascii="Arial Narrow" w:hAnsi="Arial Narrow"/>
                <w:sz w:val="16"/>
                <w:szCs w:val="16"/>
              </w:rPr>
              <w:t>lower</w:t>
            </w:r>
            <w:proofErr w:type="spellEnd"/>
            <w:r>
              <w:rPr>
                <w:rStyle w:val="cell-value"/>
                <w:rFonts w:ascii="Arial Narrow" w:hAnsi="Arial Narrow"/>
                <w:sz w:val="16"/>
                <w:szCs w:val="16"/>
              </w:rPr>
              <w:t xml:space="preserve"> </w:t>
            </w:r>
            <w:proofErr w:type="spellStart"/>
            <w:r>
              <w:rPr>
                <w:rStyle w:val="cell-value"/>
                <w:rFonts w:ascii="Arial Narrow" w:hAnsi="Arial Narrow"/>
                <w:sz w:val="16"/>
                <w:szCs w:val="16"/>
              </w:rPr>
              <w:t>to</w:t>
            </w:r>
            <w:proofErr w:type="spellEnd"/>
            <w:r>
              <w:rPr>
                <w:rStyle w:val="cell-value"/>
                <w:rFonts w:ascii="Arial Narrow" w:hAnsi="Arial Narrow"/>
                <w:sz w:val="16"/>
                <w:szCs w:val="16"/>
              </w:rPr>
              <w:t xml:space="preserve"> 6.61 </w:t>
            </w:r>
            <w:proofErr w:type="spellStart"/>
            <w:r>
              <w:rPr>
                <w:rStyle w:val="cell-value"/>
                <w:rFonts w:ascii="Arial Narrow" w:hAnsi="Arial Narrow"/>
                <w:sz w:val="16"/>
                <w:szCs w:val="16"/>
              </w:rPr>
              <w:t>higher</w:t>
            </w:r>
            <w:proofErr w:type="spellEnd"/>
            <w:r>
              <w:rPr>
                <w:rStyle w:val="cell-value"/>
                <w:rFonts w:ascii="Arial Narrow" w:hAnsi="Arial Narrow"/>
                <w:sz w:val="16"/>
                <w:szCs w:val="16"/>
              </w:rPr>
              <w:t>)</w:t>
            </w:r>
          </w:p>
        </w:tc>
        <w:tc>
          <w:tcPr>
            <w:tcW w:w="589" w:type="pct"/>
            <w:tcBorders>
              <w:top w:val="single" w:sz="6" w:space="0" w:color="000000"/>
              <w:left w:val="nil"/>
              <w:bottom w:val="single" w:sz="6" w:space="0" w:color="000000"/>
              <w:right w:val="nil"/>
            </w:tcBorders>
            <w:vAlign w:val="center"/>
            <w:hideMark/>
          </w:tcPr>
          <w:p w14:paraId="1141FA48" w14:textId="77777777" w:rsidR="009F5320" w:rsidRDefault="009F5320" w:rsidP="00350225">
            <w:pPr>
              <w:jc w:val="center"/>
              <w:rPr>
                <w:rFonts w:ascii="Arial Narrow" w:hAnsi="Arial Narrow"/>
                <w:sz w:val="16"/>
                <w:szCs w:val="16"/>
              </w:rPr>
            </w:pPr>
            <w:r>
              <w:rPr>
                <w:rStyle w:val="cell"/>
                <w:rFonts w:ascii="Arial Narrow" w:hAnsi="Arial Narrow"/>
                <w:sz w:val="16"/>
                <w:szCs w:val="16"/>
              </w:rPr>
              <w:t>-</w:t>
            </w:r>
          </w:p>
        </w:tc>
        <w:tc>
          <w:tcPr>
            <w:tcW w:w="589" w:type="pct"/>
            <w:tcBorders>
              <w:top w:val="single" w:sz="6" w:space="0" w:color="000000"/>
              <w:left w:val="nil"/>
              <w:bottom w:val="single" w:sz="6" w:space="0" w:color="000000"/>
              <w:right w:val="nil"/>
            </w:tcBorders>
            <w:vAlign w:val="center"/>
            <w:hideMark/>
          </w:tcPr>
          <w:p w14:paraId="2B2B46DE" w14:textId="77777777" w:rsidR="009F5320" w:rsidRDefault="009F5320" w:rsidP="00350225">
            <w:pPr>
              <w:jc w:val="center"/>
              <w:rPr>
                <w:rFonts w:ascii="Arial Narrow" w:hAnsi="Arial Narrow"/>
                <w:sz w:val="16"/>
                <w:szCs w:val="16"/>
              </w:rPr>
            </w:pPr>
            <w:r>
              <w:rPr>
                <w:rFonts w:ascii="Arial Narrow" w:hAnsi="Arial Narrow"/>
                <w:sz w:val="16"/>
                <w:szCs w:val="16"/>
              </w:rPr>
              <w:t>917</w:t>
            </w:r>
            <w:r>
              <w:rPr>
                <w:rFonts w:ascii="Arial Narrow" w:hAnsi="Arial Narrow"/>
                <w:sz w:val="16"/>
                <w:szCs w:val="16"/>
              </w:rPr>
              <w:br/>
              <w:t xml:space="preserve">(11 </w:t>
            </w:r>
            <w:proofErr w:type="spellStart"/>
            <w:r>
              <w:rPr>
                <w:rFonts w:ascii="Arial Narrow" w:hAnsi="Arial Narrow"/>
                <w:sz w:val="16"/>
                <w:szCs w:val="16"/>
              </w:rPr>
              <w:t>RCTs</w:t>
            </w:r>
            <w:proofErr w:type="spellEnd"/>
            <w:r>
              <w:rPr>
                <w:rFonts w:ascii="Arial Narrow" w:hAnsi="Arial Narrow"/>
                <w:sz w:val="16"/>
                <w:szCs w:val="16"/>
              </w:rPr>
              <w:t>)</w:t>
            </w:r>
          </w:p>
        </w:tc>
        <w:tc>
          <w:tcPr>
            <w:tcW w:w="581" w:type="pct"/>
            <w:tcBorders>
              <w:top w:val="single" w:sz="6" w:space="0" w:color="000000"/>
              <w:left w:val="nil"/>
              <w:bottom w:val="single" w:sz="6" w:space="0" w:color="000000"/>
              <w:right w:val="nil"/>
            </w:tcBorders>
            <w:vAlign w:val="center"/>
            <w:hideMark/>
          </w:tcPr>
          <w:p w14:paraId="364A7AA8" w14:textId="77777777" w:rsidR="009F5320" w:rsidRDefault="009F5320" w:rsidP="00350225">
            <w:pPr>
              <w:jc w:val="center"/>
              <w:rPr>
                <w:rFonts w:ascii="Arial Narrow" w:hAnsi="Arial Narrow"/>
                <w:sz w:val="16"/>
                <w:szCs w:val="16"/>
              </w:rPr>
            </w:pPr>
            <w:r>
              <w:rPr>
                <w:rStyle w:val="quality-sign"/>
                <w:rFonts w:ascii="Cambria Math" w:hAnsi="Cambria Math" w:cs="Cambria Math"/>
                <w:sz w:val="21"/>
                <w:szCs w:val="21"/>
              </w:rPr>
              <w:t>⨁⨁◯◯</w:t>
            </w:r>
            <w:r>
              <w:rPr>
                <w:rFonts w:ascii="Arial Narrow" w:hAnsi="Arial Narrow"/>
                <w:sz w:val="16"/>
                <w:szCs w:val="16"/>
              </w:rPr>
              <w:br/>
            </w:r>
            <w:proofErr w:type="spellStart"/>
            <w:r>
              <w:rPr>
                <w:rStyle w:val="quality-text"/>
                <w:rFonts w:ascii="Arial Narrow" w:hAnsi="Arial Narrow"/>
                <w:sz w:val="16"/>
                <w:szCs w:val="16"/>
              </w:rPr>
              <w:t>Low</w:t>
            </w:r>
            <w:r>
              <w:rPr>
                <w:rFonts w:ascii="Arial Narrow" w:hAnsi="Arial Narrow"/>
                <w:sz w:val="16"/>
                <w:szCs w:val="16"/>
                <w:vertAlign w:val="superscript"/>
              </w:rPr>
              <w:t>b</w:t>
            </w:r>
            <w:proofErr w:type="spellEnd"/>
          </w:p>
        </w:tc>
        <w:tc>
          <w:tcPr>
            <w:tcW w:w="1292" w:type="pct"/>
            <w:tcBorders>
              <w:top w:val="single" w:sz="6" w:space="0" w:color="000000"/>
              <w:left w:val="nil"/>
              <w:bottom w:val="single" w:sz="6" w:space="0" w:color="000000"/>
              <w:right w:val="nil"/>
            </w:tcBorders>
            <w:vAlign w:val="center"/>
            <w:hideMark/>
          </w:tcPr>
          <w:p w14:paraId="625047DC" w14:textId="77777777" w:rsidR="009F5320" w:rsidRDefault="009F5320" w:rsidP="00350225">
            <w:pPr>
              <w:jc w:val="center"/>
              <w:rPr>
                <w:rFonts w:ascii="Arial Narrow" w:hAnsi="Arial Narrow"/>
                <w:sz w:val="16"/>
                <w:szCs w:val="16"/>
              </w:rPr>
            </w:pPr>
          </w:p>
        </w:tc>
      </w:tr>
      <w:tr w:rsidR="009F5320" w14:paraId="380CD1A5" w14:textId="77777777" w:rsidTr="009F5320">
        <w:trPr>
          <w:cantSplit/>
        </w:trPr>
        <w:tc>
          <w:tcPr>
            <w:tcW w:w="770" w:type="pct"/>
            <w:tcBorders>
              <w:top w:val="single" w:sz="6" w:space="0" w:color="000000"/>
              <w:left w:val="nil"/>
              <w:bottom w:val="single" w:sz="6" w:space="0" w:color="000000"/>
              <w:right w:val="nil"/>
            </w:tcBorders>
            <w:vAlign w:val="center"/>
            <w:hideMark/>
          </w:tcPr>
          <w:p w14:paraId="397811C9" w14:textId="571E8015" w:rsidR="009F5320" w:rsidRDefault="00665F22" w:rsidP="00350225">
            <w:pPr>
              <w:jc w:val="center"/>
              <w:rPr>
                <w:rFonts w:ascii="Arial Narrow" w:hAnsi="Arial Narrow"/>
                <w:sz w:val="16"/>
                <w:szCs w:val="16"/>
              </w:rPr>
            </w:pPr>
            <w:proofErr w:type="spellStart"/>
            <w:r>
              <w:rPr>
                <w:rStyle w:val="label"/>
                <w:rFonts w:ascii="Arial Narrow" w:hAnsi="Arial Narrow"/>
                <w:sz w:val="18"/>
                <w:szCs w:val="18"/>
              </w:rPr>
              <w:t>Respiratory</w:t>
            </w:r>
            <w:proofErr w:type="spellEnd"/>
            <w:r w:rsidR="009F5320">
              <w:rPr>
                <w:rStyle w:val="label"/>
                <w:rFonts w:ascii="Arial Narrow" w:hAnsi="Arial Narrow"/>
                <w:sz w:val="18"/>
                <w:szCs w:val="18"/>
              </w:rPr>
              <w:t xml:space="preserve"> </w:t>
            </w:r>
            <w:proofErr w:type="spellStart"/>
            <w:r w:rsidR="009F5320">
              <w:rPr>
                <w:rStyle w:val="label"/>
                <w:rFonts w:ascii="Arial Narrow" w:hAnsi="Arial Narrow"/>
                <w:sz w:val="18"/>
                <w:szCs w:val="18"/>
              </w:rPr>
              <w:t>compliance</w:t>
            </w:r>
            <w:proofErr w:type="spellEnd"/>
            <w:r w:rsidR="009F5320">
              <w:rPr>
                <w:rStyle w:val="label"/>
                <w:rFonts w:ascii="Arial Narrow" w:hAnsi="Arial Narrow"/>
                <w:sz w:val="18"/>
                <w:szCs w:val="18"/>
              </w:rPr>
              <w:t xml:space="preserve"> (</w:t>
            </w:r>
            <w:proofErr w:type="spellStart"/>
            <w:r w:rsidR="009F5320">
              <w:rPr>
                <w:rStyle w:val="label"/>
                <w:rFonts w:ascii="Arial Narrow" w:hAnsi="Arial Narrow"/>
                <w:sz w:val="18"/>
                <w:szCs w:val="18"/>
              </w:rPr>
              <w:t>static</w:t>
            </w:r>
            <w:proofErr w:type="spellEnd"/>
            <w:r w:rsidR="009F5320">
              <w:rPr>
                <w:rStyle w:val="label"/>
                <w:rFonts w:ascii="Arial Narrow" w:hAnsi="Arial Narrow"/>
                <w:sz w:val="18"/>
                <w:szCs w:val="18"/>
              </w:rPr>
              <w:t xml:space="preserve">) </w:t>
            </w:r>
            <w:r w:rsidR="009F5320">
              <w:rPr>
                <w:rStyle w:val="short-name"/>
                <w:rFonts w:ascii="Arial Narrow" w:hAnsi="Arial Narrow"/>
                <w:sz w:val="18"/>
                <w:szCs w:val="18"/>
              </w:rPr>
              <w:t>(</w:t>
            </w:r>
            <w:proofErr w:type="spellStart"/>
            <w:r w:rsidR="009F5320">
              <w:rPr>
                <w:rStyle w:val="short-name"/>
                <w:rFonts w:ascii="Arial Narrow" w:hAnsi="Arial Narrow"/>
                <w:sz w:val="18"/>
                <w:szCs w:val="18"/>
              </w:rPr>
              <w:t>Cstat</w:t>
            </w:r>
            <w:proofErr w:type="spellEnd"/>
            <w:r w:rsidR="009F5320">
              <w:rPr>
                <w:rStyle w:val="short-name"/>
                <w:rFonts w:ascii="Arial Narrow" w:hAnsi="Arial Narrow"/>
                <w:sz w:val="18"/>
                <w:szCs w:val="18"/>
              </w:rPr>
              <w:t>)</w:t>
            </w:r>
          </w:p>
        </w:tc>
        <w:tc>
          <w:tcPr>
            <w:tcW w:w="589" w:type="pct"/>
            <w:tcBorders>
              <w:top w:val="single" w:sz="6" w:space="0" w:color="000000"/>
              <w:left w:val="nil"/>
              <w:bottom w:val="single" w:sz="6" w:space="0" w:color="000000"/>
              <w:right w:val="nil"/>
            </w:tcBorders>
            <w:shd w:val="clear" w:color="auto" w:fill="EBEBEB"/>
            <w:vAlign w:val="center"/>
            <w:hideMark/>
          </w:tcPr>
          <w:p w14:paraId="4E4F11ED" w14:textId="1F9C4381" w:rsidR="009F5320" w:rsidRDefault="009F5320" w:rsidP="00350225">
            <w:pPr>
              <w:jc w:val="center"/>
              <w:rPr>
                <w:rFonts w:ascii="Arial Narrow" w:hAnsi="Arial Narrow"/>
                <w:sz w:val="16"/>
                <w:szCs w:val="16"/>
              </w:rPr>
            </w:pPr>
            <w:r>
              <w:rPr>
                <w:rStyle w:val="cell-value"/>
                <w:rFonts w:ascii="Arial Narrow" w:hAnsi="Arial Narrow"/>
                <w:sz w:val="16"/>
                <w:szCs w:val="16"/>
              </w:rPr>
              <w:t xml:space="preserve">The </w:t>
            </w:r>
            <w:proofErr w:type="spellStart"/>
            <w:r>
              <w:rPr>
                <w:rStyle w:val="cell-value"/>
                <w:rFonts w:ascii="Arial Narrow" w:hAnsi="Arial Narrow"/>
                <w:sz w:val="16"/>
                <w:szCs w:val="16"/>
              </w:rPr>
              <w:t>mean</w:t>
            </w:r>
            <w:proofErr w:type="spellEnd"/>
            <w:r>
              <w:rPr>
                <w:rStyle w:val="cell-value"/>
                <w:rFonts w:ascii="Arial Narrow" w:hAnsi="Arial Narrow"/>
                <w:sz w:val="16"/>
                <w:szCs w:val="16"/>
              </w:rPr>
              <w:t xml:space="preserve"> </w:t>
            </w:r>
            <w:proofErr w:type="spellStart"/>
            <w:r w:rsidR="00FF1AA0">
              <w:rPr>
                <w:rStyle w:val="cell-value"/>
                <w:rFonts w:ascii="Arial Narrow" w:hAnsi="Arial Narrow"/>
                <w:sz w:val="16"/>
                <w:szCs w:val="16"/>
              </w:rPr>
              <w:t>respiratory</w:t>
            </w:r>
            <w:proofErr w:type="spellEnd"/>
            <w:r>
              <w:rPr>
                <w:rStyle w:val="cell-value"/>
                <w:rFonts w:ascii="Arial Narrow" w:hAnsi="Arial Narrow"/>
                <w:sz w:val="16"/>
                <w:szCs w:val="16"/>
              </w:rPr>
              <w:t xml:space="preserve"> </w:t>
            </w:r>
            <w:proofErr w:type="spellStart"/>
            <w:r>
              <w:rPr>
                <w:rStyle w:val="cell-value"/>
                <w:rFonts w:ascii="Arial Narrow" w:hAnsi="Arial Narrow"/>
                <w:sz w:val="16"/>
                <w:szCs w:val="16"/>
              </w:rPr>
              <w:t>compliance</w:t>
            </w:r>
            <w:proofErr w:type="spellEnd"/>
            <w:r>
              <w:rPr>
                <w:rStyle w:val="cell-value"/>
                <w:rFonts w:ascii="Arial Narrow" w:hAnsi="Arial Narrow"/>
                <w:sz w:val="16"/>
                <w:szCs w:val="16"/>
              </w:rPr>
              <w:t xml:space="preserve"> (</w:t>
            </w:r>
            <w:proofErr w:type="spellStart"/>
            <w:r>
              <w:rPr>
                <w:rStyle w:val="cell-value"/>
                <w:rFonts w:ascii="Arial Narrow" w:hAnsi="Arial Narrow"/>
                <w:sz w:val="16"/>
                <w:szCs w:val="16"/>
              </w:rPr>
              <w:t>static</w:t>
            </w:r>
            <w:proofErr w:type="spellEnd"/>
            <w:r>
              <w:rPr>
                <w:rStyle w:val="cell-value"/>
                <w:rFonts w:ascii="Arial Narrow" w:hAnsi="Arial Narrow"/>
                <w:sz w:val="16"/>
                <w:szCs w:val="16"/>
              </w:rPr>
              <w:t xml:space="preserve">) </w:t>
            </w:r>
            <w:proofErr w:type="spellStart"/>
            <w:r>
              <w:rPr>
                <w:rStyle w:val="cell-value"/>
                <w:rFonts w:ascii="Arial Narrow" w:hAnsi="Arial Narrow"/>
                <w:sz w:val="16"/>
                <w:szCs w:val="16"/>
              </w:rPr>
              <w:t>was</w:t>
            </w:r>
            <w:proofErr w:type="spellEnd"/>
            <w:r>
              <w:rPr>
                <w:rStyle w:val="cell-value"/>
                <w:rFonts w:ascii="Arial Narrow" w:hAnsi="Arial Narrow"/>
                <w:sz w:val="16"/>
                <w:szCs w:val="16"/>
              </w:rPr>
              <w:t xml:space="preserve"> </w:t>
            </w:r>
            <w:r>
              <w:rPr>
                <w:rStyle w:val="cell-value"/>
                <w:rFonts w:ascii="Arial Narrow" w:hAnsi="Arial Narrow"/>
                <w:b/>
                <w:bCs/>
                <w:sz w:val="16"/>
                <w:szCs w:val="16"/>
              </w:rPr>
              <w:t>0</w:t>
            </w:r>
            <w:r>
              <w:rPr>
                <w:rStyle w:val="cell-value"/>
                <w:rFonts w:ascii="Arial Narrow" w:hAnsi="Arial Narrow"/>
                <w:sz w:val="16"/>
                <w:szCs w:val="16"/>
              </w:rPr>
              <w:t xml:space="preserve"> cmH2O</w:t>
            </w:r>
          </w:p>
        </w:tc>
        <w:tc>
          <w:tcPr>
            <w:tcW w:w="589" w:type="pct"/>
            <w:tcBorders>
              <w:top w:val="single" w:sz="6" w:space="0" w:color="000000"/>
              <w:left w:val="nil"/>
              <w:bottom w:val="single" w:sz="6" w:space="0" w:color="000000"/>
              <w:right w:val="nil"/>
            </w:tcBorders>
            <w:shd w:val="clear" w:color="auto" w:fill="EBEBEB"/>
            <w:hideMark/>
          </w:tcPr>
          <w:p w14:paraId="4A6F9CFE" w14:textId="77777777" w:rsidR="009F5320" w:rsidRDefault="009F5320" w:rsidP="00350225">
            <w:pPr>
              <w:jc w:val="center"/>
              <w:rPr>
                <w:rFonts w:ascii="Arial Narrow" w:hAnsi="Arial Narrow"/>
                <w:sz w:val="16"/>
                <w:szCs w:val="16"/>
              </w:rPr>
            </w:pPr>
            <w:r>
              <w:rPr>
                <w:rStyle w:val="cell-value"/>
                <w:rFonts w:ascii="Arial Narrow" w:hAnsi="Arial Narrow"/>
                <w:sz w:val="16"/>
                <w:szCs w:val="16"/>
              </w:rPr>
              <w:t xml:space="preserve">MD </w:t>
            </w:r>
            <w:r>
              <w:rPr>
                <w:rStyle w:val="cell-value"/>
                <w:rFonts w:ascii="Arial Narrow" w:hAnsi="Arial Narrow"/>
                <w:b/>
                <w:bCs/>
                <w:sz w:val="16"/>
                <w:szCs w:val="16"/>
              </w:rPr>
              <w:t xml:space="preserve">11.92 cmH2O </w:t>
            </w:r>
            <w:proofErr w:type="spellStart"/>
            <w:r>
              <w:rPr>
                <w:rStyle w:val="cell-value"/>
                <w:rFonts w:ascii="Arial Narrow" w:hAnsi="Arial Narrow"/>
                <w:b/>
                <w:bCs/>
                <w:sz w:val="16"/>
                <w:szCs w:val="16"/>
              </w:rPr>
              <w:t>higher</w:t>
            </w:r>
            <w:proofErr w:type="spellEnd"/>
            <w:r>
              <w:rPr>
                <w:rFonts w:ascii="Arial Narrow" w:hAnsi="Arial Narrow"/>
                <w:sz w:val="16"/>
                <w:szCs w:val="16"/>
              </w:rPr>
              <w:br/>
            </w:r>
            <w:r>
              <w:rPr>
                <w:rStyle w:val="cell-value"/>
                <w:rFonts w:ascii="Arial Narrow" w:hAnsi="Arial Narrow"/>
                <w:sz w:val="16"/>
                <w:szCs w:val="16"/>
              </w:rPr>
              <w:t xml:space="preserve">(6.4 </w:t>
            </w:r>
            <w:proofErr w:type="spellStart"/>
            <w:r>
              <w:rPr>
                <w:rStyle w:val="cell-value"/>
                <w:rFonts w:ascii="Arial Narrow" w:hAnsi="Arial Narrow"/>
                <w:sz w:val="16"/>
                <w:szCs w:val="16"/>
              </w:rPr>
              <w:t>higher</w:t>
            </w:r>
            <w:proofErr w:type="spellEnd"/>
            <w:r>
              <w:rPr>
                <w:rStyle w:val="cell-value"/>
                <w:rFonts w:ascii="Arial Narrow" w:hAnsi="Arial Narrow"/>
                <w:sz w:val="16"/>
                <w:szCs w:val="16"/>
              </w:rPr>
              <w:t xml:space="preserve"> </w:t>
            </w:r>
            <w:proofErr w:type="spellStart"/>
            <w:r>
              <w:rPr>
                <w:rStyle w:val="cell-value"/>
                <w:rFonts w:ascii="Arial Narrow" w:hAnsi="Arial Narrow"/>
                <w:sz w:val="16"/>
                <w:szCs w:val="16"/>
              </w:rPr>
              <w:t>to</w:t>
            </w:r>
            <w:proofErr w:type="spellEnd"/>
            <w:r>
              <w:rPr>
                <w:rStyle w:val="cell-value"/>
                <w:rFonts w:ascii="Arial Narrow" w:hAnsi="Arial Narrow"/>
                <w:sz w:val="16"/>
                <w:szCs w:val="16"/>
              </w:rPr>
              <w:t xml:space="preserve"> 17.45 </w:t>
            </w:r>
            <w:proofErr w:type="spellStart"/>
            <w:r>
              <w:rPr>
                <w:rStyle w:val="cell-value"/>
                <w:rFonts w:ascii="Arial Narrow" w:hAnsi="Arial Narrow"/>
                <w:sz w:val="16"/>
                <w:szCs w:val="16"/>
              </w:rPr>
              <w:t>higher</w:t>
            </w:r>
            <w:proofErr w:type="spellEnd"/>
            <w:r>
              <w:rPr>
                <w:rStyle w:val="cell-value"/>
                <w:rFonts w:ascii="Arial Narrow" w:hAnsi="Arial Narrow"/>
                <w:sz w:val="16"/>
                <w:szCs w:val="16"/>
              </w:rPr>
              <w:t>)</w:t>
            </w:r>
          </w:p>
        </w:tc>
        <w:tc>
          <w:tcPr>
            <w:tcW w:w="589" w:type="pct"/>
            <w:tcBorders>
              <w:top w:val="single" w:sz="6" w:space="0" w:color="000000"/>
              <w:left w:val="nil"/>
              <w:bottom w:val="single" w:sz="6" w:space="0" w:color="000000"/>
              <w:right w:val="nil"/>
            </w:tcBorders>
            <w:vAlign w:val="center"/>
            <w:hideMark/>
          </w:tcPr>
          <w:p w14:paraId="36E6ABB1" w14:textId="77777777" w:rsidR="009F5320" w:rsidRDefault="009F5320" w:rsidP="00350225">
            <w:pPr>
              <w:jc w:val="center"/>
              <w:rPr>
                <w:rFonts w:ascii="Arial Narrow" w:hAnsi="Arial Narrow"/>
                <w:sz w:val="16"/>
                <w:szCs w:val="16"/>
              </w:rPr>
            </w:pPr>
            <w:r>
              <w:rPr>
                <w:rStyle w:val="cell"/>
                <w:rFonts w:ascii="Arial Narrow" w:hAnsi="Arial Narrow"/>
                <w:sz w:val="16"/>
                <w:szCs w:val="16"/>
              </w:rPr>
              <w:t>-</w:t>
            </w:r>
          </w:p>
        </w:tc>
        <w:tc>
          <w:tcPr>
            <w:tcW w:w="589" w:type="pct"/>
            <w:tcBorders>
              <w:top w:val="single" w:sz="6" w:space="0" w:color="000000"/>
              <w:left w:val="nil"/>
              <w:bottom w:val="single" w:sz="6" w:space="0" w:color="000000"/>
              <w:right w:val="nil"/>
            </w:tcBorders>
            <w:vAlign w:val="center"/>
            <w:hideMark/>
          </w:tcPr>
          <w:p w14:paraId="4A5582F6" w14:textId="77777777" w:rsidR="009F5320" w:rsidRDefault="009F5320" w:rsidP="00350225">
            <w:pPr>
              <w:jc w:val="center"/>
              <w:rPr>
                <w:rFonts w:ascii="Arial Narrow" w:hAnsi="Arial Narrow"/>
                <w:sz w:val="16"/>
                <w:szCs w:val="16"/>
              </w:rPr>
            </w:pPr>
            <w:r>
              <w:rPr>
                <w:rFonts w:ascii="Arial Narrow" w:hAnsi="Arial Narrow"/>
                <w:sz w:val="16"/>
                <w:szCs w:val="16"/>
              </w:rPr>
              <w:t>656</w:t>
            </w:r>
            <w:r>
              <w:rPr>
                <w:rFonts w:ascii="Arial Narrow" w:hAnsi="Arial Narrow"/>
                <w:sz w:val="16"/>
                <w:szCs w:val="16"/>
              </w:rPr>
              <w:br/>
              <w:t xml:space="preserve">(11 </w:t>
            </w:r>
            <w:proofErr w:type="spellStart"/>
            <w:r>
              <w:rPr>
                <w:rFonts w:ascii="Arial Narrow" w:hAnsi="Arial Narrow"/>
                <w:sz w:val="16"/>
                <w:szCs w:val="16"/>
              </w:rPr>
              <w:t>RCTs</w:t>
            </w:r>
            <w:proofErr w:type="spellEnd"/>
            <w:r>
              <w:rPr>
                <w:rFonts w:ascii="Arial Narrow" w:hAnsi="Arial Narrow"/>
                <w:sz w:val="16"/>
                <w:szCs w:val="16"/>
              </w:rPr>
              <w:t>)</w:t>
            </w:r>
          </w:p>
        </w:tc>
        <w:tc>
          <w:tcPr>
            <w:tcW w:w="581" w:type="pct"/>
            <w:tcBorders>
              <w:top w:val="single" w:sz="6" w:space="0" w:color="000000"/>
              <w:left w:val="nil"/>
              <w:bottom w:val="single" w:sz="6" w:space="0" w:color="000000"/>
              <w:right w:val="nil"/>
            </w:tcBorders>
            <w:vAlign w:val="center"/>
            <w:hideMark/>
          </w:tcPr>
          <w:p w14:paraId="4D8DF327" w14:textId="77777777" w:rsidR="009F5320" w:rsidRDefault="009F5320" w:rsidP="00350225">
            <w:pPr>
              <w:jc w:val="center"/>
              <w:rPr>
                <w:rFonts w:ascii="Arial Narrow" w:hAnsi="Arial Narrow"/>
                <w:sz w:val="16"/>
                <w:szCs w:val="16"/>
              </w:rPr>
            </w:pPr>
            <w:r>
              <w:rPr>
                <w:rStyle w:val="quality-sign"/>
                <w:rFonts w:ascii="Cambria Math" w:hAnsi="Cambria Math" w:cs="Cambria Math"/>
                <w:sz w:val="21"/>
                <w:szCs w:val="21"/>
              </w:rPr>
              <w:t>⨁⨁◯◯</w:t>
            </w:r>
            <w:r>
              <w:rPr>
                <w:rFonts w:ascii="Arial Narrow" w:hAnsi="Arial Narrow"/>
                <w:sz w:val="16"/>
                <w:szCs w:val="16"/>
              </w:rPr>
              <w:br/>
            </w:r>
            <w:proofErr w:type="spellStart"/>
            <w:r>
              <w:rPr>
                <w:rStyle w:val="quality-text"/>
                <w:rFonts w:ascii="Arial Narrow" w:hAnsi="Arial Narrow"/>
                <w:sz w:val="16"/>
                <w:szCs w:val="16"/>
              </w:rPr>
              <w:t>Low</w:t>
            </w:r>
            <w:r>
              <w:rPr>
                <w:rFonts w:ascii="Arial Narrow" w:hAnsi="Arial Narrow"/>
                <w:sz w:val="16"/>
                <w:szCs w:val="16"/>
                <w:vertAlign w:val="superscript"/>
              </w:rPr>
              <w:t>b</w:t>
            </w:r>
            <w:proofErr w:type="spellEnd"/>
          </w:p>
        </w:tc>
        <w:tc>
          <w:tcPr>
            <w:tcW w:w="1292" w:type="pct"/>
            <w:tcBorders>
              <w:top w:val="single" w:sz="6" w:space="0" w:color="000000"/>
              <w:left w:val="nil"/>
              <w:bottom w:val="single" w:sz="6" w:space="0" w:color="000000"/>
              <w:right w:val="nil"/>
            </w:tcBorders>
            <w:vAlign w:val="center"/>
            <w:hideMark/>
          </w:tcPr>
          <w:p w14:paraId="59B60C90" w14:textId="77777777" w:rsidR="009F5320" w:rsidRDefault="009F5320" w:rsidP="00350225">
            <w:pPr>
              <w:jc w:val="center"/>
              <w:rPr>
                <w:rFonts w:ascii="Arial Narrow" w:hAnsi="Arial Narrow"/>
                <w:sz w:val="16"/>
                <w:szCs w:val="16"/>
              </w:rPr>
            </w:pPr>
          </w:p>
        </w:tc>
      </w:tr>
      <w:tr w:rsidR="009F5320" w14:paraId="7D7F92BB" w14:textId="77777777" w:rsidTr="009F5320">
        <w:trPr>
          <w:cantSplit/>
        </w:trPr>
        <w:tc>
          <w:tcPr>
            <w:tcW w:w="770" w:type="pct"/>
            <w:tcBorders>
              <w:top w:val="single" w:sz="6" w:space="0" w:color="000000"/>
              <w:left w:val="nil"/>
              <w:bottom w:val="single" w:sz="6" w:space="0" w:color="000000"/>
              <w:right w:val="nil"/>
            </w:tcBorders>
            <w:vAlign w:val="center"/>
            <w:hideMark/>
          </w:tcPr>
          <w:p w14:paraId="5ED37EE8" w14:textId="77777777" w:rsidR="009F5320" w:rsidRDefault="009F5320" w:rsidP="00350225">
            <w:pPr>
              <w:jc w:val="center"/>
              <w:rPr>
                <w:rFonts w:ascii="Arial Narrow" w:hAnsi="Arial Narrow"/>
                <w:sz w:val="16"/>
                <w:szCs w:val="16"/>
              </w:rPr>
            </w:pPr>
            <w:proofErr w:type="spellStart"/>
            <w:r>
              <w:rPr>
                <w:rStyle w:val="label"/>
                <w:rFonts w:ascii="Arial Narrow" w:hAnsi="Arial Narrow"/>
                <w:sz w:val="18"/>
                <w:szCs w:val="18"/>
              </w:rPr>
              <w:t>Driving</w:t>
            </w:r>
            <w:proofErr w:type="spellEnd"/>
            <w:r>
              <w:rPr>
                <w:rStyle w:val="label"/>
                <w:rFonts w:ascii="Arial Narrow" w:hAnsi="Arial Narrow"/>
                <w:sz w:val="18"/>
                <w:szCs w:val="18"/>
              </w:rPr>
              <w:t xml:space="preserve"> </w:t>
            </w:r>
            <w:proofErr w:type="spellStart"/>
            <w:r>
              <w:rPr>
                <w:rStyle w:val="label"/>
                <w:rFonts w:ascii="Arial Narrow" w:hAnsi="Arial Narrow"/>
                <w:sz w:val="18"/>
                <w:szCs w:val="18"/>
              </w:rPr>
              <w:t>pressure</w:t>
            </w:r>
            <w:proofErr w:type="spellEnd"/>
            <w:r>
              <w:rPr>
                <w:rStyle w:val="label"/>
                <w:rFonts w:ascii="Arial Narrow" w:hAnsi="Arial Narrow"/>
                <w:sz w:val="18"/>
                <w:szCs w:val="18"/>
              </w:rPr>
              <w:t xml:space="preserve"> </w:t>
            </w:r>
            <w:r>
              <w:rPr>
                <w:rStyle w:val="short-name"/>
                <w:rFonts w:ascii="Arial Narrow" w:hAnsi="Arial Narrow"/>
                <w:sz w:val="18"/>
                <w:szCs w:val="18"/>
              </w:rPr>
              <w:t>(</w:t>
            </w:r>
            <w:proofErr w:type="spellStart"/>
            <w:r>
              <w:rPr>
                <w:rStyle w:val="short-name"/>
                <w:rFonts w:ascii="Arial Narrow" w:hAnsi="Arial Narrow"/>
                <w:sz w:val="18"/>
                <w:szCs w:val="18"/>
              </w:rPr>
              <w:t>Pdriving</w:t>
            </w:r>
            <w:proofErr w:type="spellEnd"/>
            <w:r>
              <w:rPr>
                <w:rStyle w:val="short-name"/>
                <w:rFonts w:ascii="Arial Narrow" w:hAnsi="Arial Narrow"/>
                <w:sz w:val="18"/>
                <w:szCs w:val="18"/>
              </w:rPr>
              <w:t>)</w:t>
            </w:r>
          </w:p>
        </w:tc>
        <w:tc>
          <w:tcPr>
            <w:tcW w:w="589" w:type="pct"/>
            <w:tcBorders>
              <w:top w:val="single" w:sz="6" w:space="0" w:color="000000"/>
              <w:left w:val="nil"/>
              <w:bottom w:val="single" w:sz="6" w:space="0" w:color="000000"/>
              <w:right w:val="nil"/>
            </w:tcBorders>
            <w:shd w:val="clear" w:color="auto" w:fill="EBEBEB"/>
            <w:vAlign w:val="center"/>
            <w:hideMark/>
          </w:tcPr>
          <w:p w14:paraId="72B86D8F" w14:textId="77777777" w:rsidR="009F5320" w:rsidRDefault="009F5320" w:rsidP="00350225">
            <w:pPr>
              <w:jc w:val="center"/>
              <w:rPr>
                <w:rFonts w:ascii="Arial Narrow" w:hAnsi="Arial Narrow"/>
                <w:sz w:val="16"/>
                <w:szCs w:val="16"/>
              </w:rPr>
            </w:pPr>
            <w:r>
              <w:rPr>
                <w:rStyle w:val="cell-value"/>
                <w:rFonts w:ascii="Arial Narrow" w:hAnsi="Arial Narrow"/>
                <w:sz w:val="16"/>
                <w:szCs w:val="16"/>
              </w:rPr>
              <w:t xml:space="preserve">The </w:t>
            </w:r>
            <w:proofErr w:type="spellStart"/>
            <w:r>
              <w:rPr>
                <w:rStyle w:val="cell-value"/>
                <w:rFonts w:ascii="Arial Narrow" w:hAnsi="Arial Narrow"/>
                <w:sz w:val="16"/>
                <w:szCs w:val="16"/>
              </w:rPr>
              <w:t>mean</w:t>
            </w:r>
            <w:proofErr w:type="spellEnd"/>
            <w:r>
              <w:rPr>
                <w:rStyle w:val="cell-value"/>
                <w:rFonts w:ascii="Arial Narrow" w:hAnsi="Arial Narrow"/>
                <w:sz w:val="16"/>
                <w:szCs w:val="16"/>
              </w:rPr>
              <w:t xml:space="preserve"> </w:t>
            </w:r>
            <w:proofErr w:type="spellStart"/>
            <w:r>
              <w:rPr>
                <w:rStyle w:val="cell-value"/>
                <w:rFonts w:ascii="Arial Narrow" w:hAnsi="Arial Narrow"/>
                <w:sz w:val="16"/>
                <w:szCs w:val="16"/>
              </w:rPr>
              <w:t>driving</w:t>
            </w:r>
            <w:proofErr w:type="spellEnd"/>
            <w:r>
              <w:rPr>
                <w:rStyle w:val="cell-value"/>
                <w:rFonts w:ascii="Arial Narrow" w:hAnsi="Arial Narrow"/>
                <w:sz w:val="16"/>
                <w:szCs w:val="16"/>
              </w:rPr>
              <w:t xml:space="preserve"> </w:t>
            </w:r>
            <w:proofErr w:type="spellStart"/>
            <w:r>
              <w:rPr>
                <w:rStyle w:val="cell-value"/>
                <w:rFonts w:ascii="Arial Narrow" w:hAnsi="Arial Narrow"/>
                <w:sz w:val="16"/>
                <w:szCs w:val="16"/>
              </w:rPr>
              <w:t>pressure</w:t>
            </w:r>
            <w:proofErr w:type="spellEnd"/>
            <w:r>
              <w:rPr>
                <w:rStyle w:val="cell-value"/>
                <w:rFonts w:ascii="Arial Narrow" w:hAnsi="Arial Narrow"/>
                <w:sz w:val="16"/>
                <w:szCs w:val="16"/>
              </w:rPr>
              <w:t xml:space="preserve"> </w:t>
            </w:r>
            <w:proofErr w:type="spellStart"/>
            <w:r>
              <w:rPr>
                <w:rStyle w:val="cell-value"/>
                <w:rFonts w:ascii="Arial Narrow" w:hAnsi="Arial Narrow"/>
                <w:sz w:val="16"/>
                <w:szCs w:val="16"/>
              </w:rPr>
              <w:t>was</w:t>
            </w:r>
            <w:proofErr w:type="spellEnd"/>
            <w:r>
              <w:rPr>
                <w:rStyle w:val="cell-value"/>
                <w:rFonts w:ascii="Arial Narrow" w:hAnsi="Arial Narrow"/>
                <w:sz w:val="16"/>
                <w:szCs w:val="16"/>
              </w:rPr>
              <w:t xml:space="preserve"> </w:t>
            </w:r>
            <w:r>
              <w:rPr>
                <w:rStyle w:val="cell-value"/>
                <w:rFonts w:ascii="Arial Narrow" w:hAnsi="Arial Narrow"/>
                <w:b/>
                <w:bCs/>
                <w:sz w:val="16"/>
                <w:szCs w:val="16"/>
              </w:rPr>
              <w:t>0</w:t>
            </w:r>
            <w:r>
              <w:rPr>
                <w:rStyle w:val="cell-value"/>
                <w:rFonts w:ascii="Arial Narrow" w:hAnsi="Arial Narrow"/>
                <w:sz w:val="16"/>
                <w:szCs w:val="16"/>
              </w:rPr>
              <w:t xml:space="preserve"> cmH2O</w:t>
            </w:r>
          </w:p>
        </w:tc>
        <w:tc>
          <w:tcPr>
            <w:tcW w:w="589" w:type="pct"/>
            <w:tcBorders>
              <w:top w:val="single" w:sz="6" w:space="0" w:color="000000"/>
              <w:left w:val="nil"/>
              <w:bottom w:val="single" w:sz="6" w:space="0" w:color="000000"/>
              <w:right w:val="nil"/>
            </w:tcBorders>
            <w:shd w:val="clear" w:color="auto" w:fill="EBEBEB"/>
            <w:hideMark/>
          </w:tcPr>
          <w:p w14:paraId="284FFAA4" w14:textId="77777777" w:rsidR="009F5320" w:rsidRDefault="009F5320" w:rsidP="00350225">
            <w:pPr>
              <w:jc w:val="center"/>
              <w:rPr>
                <w:rFonts w:ascii="Arial Narrow" w:hAnsi="Arial Narrow"/>
                <w:sz w:val="16"/>
                <w:szCs w:val="16"/>
              </w:rPr>
            </w:pPr>
            <w:r>
              <w:rPr>
                <w:rStyle w:val="cell-value"/>
                <w:rFonts w:ascii="Arial Narrow" w:hAnsi="Arial Narrow"/>
                <w:sz w:val="16"/>
                <w:szCs w:val="16"/>
              </w:rPr>
              <w:t xml:space="preserve">MD </w:t>
            </w:r>
            <w:r>
              <w:rPr>
                <w:rStyle w:val="cell-value"/>
                <w:rFonts w:ascii="Arial Narrow" w:hAnsi="Arial Narrow"/>
                <w:b/>
                <w:bCs/>
                <w:sz w:val="16"/>
                <w:szCs w:val="16"/>
              </w:rPr>
              <w:t xml:space="preserve">2.75 cmH2O </w:t>
            </w:r>
            <w:proofErr w:type="spellStart"/>
            <w:r>
              <w:rPr>
                <w:rStyle w:val="cell-value"/>
                <w:rFonts w:ascii="Arial Narrow" w:hAnsi="Arial Narrow"/>
                <w:b/>
                <w:bCs/>
                <w:sz w:val="16"/>
                <w:szCs w:val="16"/>
              </w:rPr>
              <w:t>lower</w:t>
            </w:r>
            <w:proofErr w:type="spellEnd"/>
            <w:r>
              <w:rPr>
                <w:rFonts w:ascii="Arial Narrow" w:hAnsi="Arial Narrow"/>
                <w:sz w:val="16"/>
                <w:szCs w:val="16"/>
              </w:rPr>
              <w:br/>
            </w:r>
            <w:r>
              <w:rPr>
                <w:rStyle w:val="cell-value"/>
                <w:rFonts w:ascii="Arial Narrow" w:hAnsi="Arial Narrow"/>
                <w:sz w:val="16"/>
                <w:szCs w:val="16"/>
              </w:rPr>
              <w:t xml:space="preserve">(3.95 </w:t>
            </w:r>
            <w:proofErr w:type="spellStart"/>
            <w:r>
              <w:rPr>
                <w:rStyle w:val="cell-value"/>
                <w:rFonts w:ascii="Arial Narrow" w:hAnsi="Arial Narrow"/>
                <w:sz w:val="16"/>
                <w:szCs w:val="16"/>
              </w:rPr>
              <w:t>lower</w:t>
            </w:r>
            <w:proofErr w:type="spellEnd"/>
            <w:r>
              <w:rPr>
                <w:rStyle w:val="cell-value"/>
                <w:rFonts w:ascii="Arial Narrow" w:hAnsi="Arial Narrow"/>
                <w:sz w:val="16"/>
                <w:szCs w:val="16"/>
              </w:rPr>
              <w:t xml:space="preserve"> </w:t>
            </w:r>
            <w:proofErr w:type="spellStart"/>
            <w:r>
              <w:rPr>
                <w:rStyle w:val="cell-value"/>
                <w:rFonts w:ascii="Arial Narrow" w:hAnsi="Arial Narrow"/>
                <w:sz w:val="16"/>
                <w:szCs w:val="16"/>
              </w:rPr>
              <w:t>to</w:t>
            </w:r>
            <w:proofErr w:type="spellEnd"/>
            <w:r>
              <w:rPr>
                <w:rStyle w:val="cell-value"/>
                <w:rFonts w:ascii="Arial Narrow" w:hAnsi="Arial Narrow"/>
                <w:sz w:val="16"/>
                <w:szCs w:val="16"/>
              </w:rPr>
              <w:t xml:space="preserve"> 1.55 </w:t>
            </w:r>
            <w:proofErr w:type="spellStart"/>
            <w:r>
              <w:rPr>
                <w:rStyle w:val="cell-value"/>
                <w:rFonts w:ascii="Arial Narrow" w:hAnsi="Arial Narrow"/>
                <w:sz w:val="16"/>
                <w:szCs w:val="16"/>
              </w:rPr>
              <w:t>lower</w:t>
            </w:r>
            <w:proofErr w:type="spellEnd"/>
            <w:r>
              <w:rPr>
                <w:rStyle w:val="cell-value"/>
                <w:rFonts w:ascii="Arial Narrow" w:hAnsi="Arial Narrow"/>
                <w:sz w:val="16"/>
                <w:szCs w:val="16"/>
              </w:rPr>
              <w:t>)</w:t>
            </w:r>
          </w:p>
        </w:tc>
        <w:tc>
          <w:tcPr>
            <w:tcW w:w="589" w:type="pct"/>
            <w:tcBorders>
              <w:top w:val="single" w:sz="6" w:space="0" w:color="000000"/>
              <w:left w:val="nil"/>
              <w:bottom w:val="single" w:sz="6" w:space="0" w:color="000000"/>
              <w:right w:val="nil"/>
            </w:tcBorders>
            <w:vAlign w:val="center"/>
            <w:hideMark/>
          </w:tcPr>
          <w:p w14:paraId="1F4F2A71" w14:textId="77777777" w:rsidR="009F5320" w:rsidRDefault="009F5320" w:rsidP="00350225">
            <w:pPr>
              <w:jc w:val="center"/>
              <w:rPr>
                <w:rFonts w:ascii="Arial Narrow" w:hAnsi="Arial Narrow"/>
                <w:sz w:val="16"/>
                <w:szCs w:val="16"/>
              </w:rPr>
            </w:pPr>
            <w:r>
              <w:rPr>
                <w:rStyle w:val="cell"/>
                <w:rFonts w:ascii="Arial Narrow" w:hAnsi="Arial Narrow"/>
                <w:sz w:val="16"/>
                <w:szCs w:val="16"/>
              </w:rPr>
              <w:t>-</w:t>
            </w:r>
          </w:p>
        </w:tc>
        <w:tc>
          <w:tcPr>
            <w:tcW w:w="589" w:type="pct"/>
            <w:tcBorders>
              <w:top w:val="single" w:sz="6" w:space="0" w:color="000000"/>
              <w:left w:val="nil"/>
              <w:bottom w:val="single" w:sz="6" w:space="0" w:color="000000"/>
              <w:right w:val="nil"/>
            </w:tcBorders>
            <w:vAlign w:val="center"/>
            <w:hideMark/>
          </w:tcPr>
          <w:p w14:paraId="3B1BE1C1" w14:textId="77777777" w:rsidR="009F5320" w:rsidRDefault="009F5320" w:rsidP="00350225">
            <w:pPr>
              <w:jc w:val="center"/>
              <w:rPr>
                <w:rFonts w:ascii="Arial Narrow" w:hAnsi="Arial Narrow"/>
                <w:sz w:val="16"/>
                <w:szCs w:val="16"/>
              </w:rPr>
            </w:pPr>
            <w:r>
              <w:rPr>
                <w:rFonts w:ascii="Arial Narrow" w:hAnsi="Arial Narrow"/>
                <w:sz w:val="16"/>
                <w:szCs w:val="16"/>
              </w:rPr>
              <w:t>1530</w:t>
            </w:r>
            <w:r>
              <w:rPr>
                <w:rFonts w:ascii="Arial Narrow" w:hAnsi="Arial Narrow"/>
                <w:sz w:val="16"/>
                <w:szCs w:val="16"/>
              </w:rPr>
              <w:br/>
              <w:t xml:space="preserve">(15 </w:t>
            </w:r>
            <w:proofErr w:type="spellStart"/>
            <w:r>
              <w:rPr>
                <w:rFonts w:ascii="Arial Narrow" w:hAnsi="Arial Narrow"/>
                <w:sz w:val="16"/>
                <w:szCs w:val="16"/>
              </w:rPr>
              <w:t>RCTs</w:t>
            </w:r>
            <w:proofErr w:type="spellEnd"/>
            <w:r>
              <w:rPr>
                <w:rFonts w:ascii="Arial Narrow" w:hAnsi="Arial Narrow"/>
                <w:sz w:val="16"/>
                <w:szCs w:val="16"/>
              </w:rPr>
              <w:t>)</w:t>
            </w:r>
          </w:p>
        </w:tc>
        <w:tc>
          <w:tcPr>
            <w:tcW w:w="581" w:type="pct"/>
            <w:tcBorders>
              <w:top w:val="single" w:sz="6" w:space="0" w:color="000000"/>
              <w:left w:val="nil"/>
              <w:bottom w:val="single" w:sz="6" w:space="0" w:color="000000"/>
              <w:right w:val="nil"/>
            </w:tcBorders>
            <w:vAlign w:val="center"/>
            <w:hideMark/>
          </w:tcPr>
          <w:p w14:paraId="37B08580" w14:textId="77777777" w:rsidR="009F5320" w:rsidRDefault="009F5320" w:rsidP="00350225">
            <w:pPr>
              <w:jc w:val="center"/>
              <w:rPr>
                <w:rFonts w:ascii="Arial Narrow" w:hAnsi="Arial Narrow"/>
                <w:sz w:val="16"/>
                <w:szCs w:val="16"/>
              </w:rPr>
            </w:pPr>
            <w:r>
              <w:rPr>
                <w:rStyle w:val="quality-sign"/>
                <w:rFonts w:ascii="Cambria Math" w:hAnsi="Cambria Math" w:cs="Cambria Math"/>
                <w:sz w:val="21"/>
                <w:szCs w:val="21"/>
              </w:rPr>
              <w:t>⨁⨁◯◯</w:t>
            </w:r>
            <w:r>
              <w:rPr>
                <w:rFonts w:ascii="Arial Narrow" w:hAnsi="Arial Narrow"/>
                <w:sz w:val="16"/>
                <w:szCs w:val="16"/>
              </w:rPr>
              <w:br/>
            </w:r>
            <w:proofErr w:type="spellStart"/>
            <w:r>
              <w:rPr>
                <w:rStyle w:val="quality-text"/>
                <w:rFonts w:ascii="Arial Narrow" w:hAnsi="Arial Narrow"/>
                <w:sz w:val="16"/>
                <w:szCs w:val="16"/>
              </w:rPr>
              <w:t>Low</w:t>
            </w:r>
            <w:r>
              <w:rPr>
                <w:rFonts w:ascii="Arial Narrow" w:hAnsi="Arial Narrow"/>
                <w:sz w:val="16"/>
                <w:szCs w:val="16"/>
                <w:vertAlign w:val="superscript"/>
              </w:rPr>
              <w:t>b</w:t>
            </w:r>
            <w:proofErr w:type="spellEnd"/>
          </w:p>
        </w:tc>
        <w:tc>
          <w:tcPr>
            <w:tcW w:w="1292" w:type="pct"/>
            <w:tcBorders>
              <w:top w:val="single" w:sz="6" w:space="0" w:color="000000"/>
              <w:left w:val="nil"/>
              <w:bottom w:val="single" w:sz="6" w:space="0" w:color="000000"/>
              <w:right w:val="nil"/>
            </w:tcBorders>
            <w:vAlign w:val="center"/>
            <w:hideMark/>
          </w:tcPr>
          <w:p w14:paraId="09FE57EB" w14:textId="77777777" w:rsidR="009F5320" w:rsidRDefault="009F5320" w:rsidP="00350225">
            <w:pPr>
              <w:jc w:val="center"/>
              <w:rPr>
                <w:rFonts w:ascii="Arial Narrow" w:hAnsi="Arial Narrow"/>
                <w:sz w:val="16"/>
                <w:szCs w:val="16"/>
              </w:rPr>
            </w:pPr>
          </w:p>
        </w:tc>
      </w:tr>
      <w:tr w:rsidR="009F5320" w14:paraId="1834CF4E" w14:textId="77777777" w:rsidTr="009F5320">
        <w:trPr>
          <w:cantSplit/>
        </w:trPr>
        <w:tc>
          <w:tcPr>
            <w:tcW w:w="770" w:type="pct"/>
            <w:tcBorders>
              <w:top w:val="single" w:sz="6" w:space="0" w:color="000000"/>
              <w:left w:val="nil"/>
              <w:bottom w:val="single" w:sz="6" w:space="0" w:color="000000"/>
              <w:right w:val="nil"/>
            </w:tcBorders>
            <w:vAlign w:val="center"/>
            <w:hideMark/>
          </w:tcPr>
          <w:p w14:paraId="222D1143" w14:textId="77777777" w:rsidR="009F5320" w:rsidRDefault="009F5320" w:rsidP="00350225">
            <w:pPr>
              <w:jc w:val="center"/>
              <w:rPr>
                <w:rFonts w:ascii="Arial Narrow" w:hAnsi="Arial Narrow"/>
                <w:sz w:val="16"/>
                <w:szCs w:val="16"/>
              </w:rPr>
            </w:pPr>
            <w:proofErr w:type="spellStart"/>
            <w:r>
              <w:rPr>
                <w:rStyle w:val="label"/>
                <w:rFonts w:ascii="Arial Narrow" w:hAnsi="Arial Narrow"/>
                <w:sz w:val="18"/>
                <w:szCs w:val="18"/>
              </w:rPr>
              <w:t>Plateau</w:t>
            </w:r>
            <w:proofErr w:type="spellEnd"/>
            <w:r>
              <w:rPr>
                <w:rStyle w:val="label"/>
                <w:rFonts w:ascii="Arial Narrow" w:hAnsi="Arial Narrow"/>
                <w:sz w:val="18"/>
                <w:szCs w:val="18"/>
              </w:rPr>
              <w:t xml:space="preserve"> </w:t>
            </w:r>
            <w:proofErr w:type="spellStart"/>
            <w:r>
              <w:rPr>
                <w:rStyle w:val="label"/>
                <w:rFonts w:ascii="Arial Narrow" w:hAnsi="Arial Narrow"/>
                <w:sz w:val="18"/>
                <w:szCs w:val="18"/>
              </w:rPr>
              <w:t>pressure</w:t>
            </w:r>
            <w:proofErr w:type="spellEnd"/>
            <w:r>
              <w:rPr>
                <w:rStyle w:val="label"/>
                <w:rFonts w:ascii="Arial Narrow" w:hAnsi="Arial Narrow"/>
                <w:sz w:val="18"/>
                <w:szCs w:val="18"/>
              </w:rPr>
              <w:t xml:space="preserve"> </w:t>
            </w:r>
            <w:r>
              <w:rPr>
                <w:rStyle w:val="short-name"/>
                <w:rFonts w:ascii="Arial Narrow" w:hAnsi="Arial Narrow"/>
                <w:sz w:val="18"/>
                <w:szCs w:val="18"/>
              </w:rPr>
              <w:t>(</w:t>
            </w:r>
            <w:proofErr w:type="spellStart"/>
            <w:r>
              <w:rPr>
                <w:rStyle w:val="short-name"/>
                <w:rFonts w:ascii="Arial Narrow" w:hAnsi="Arial Narrow"/>
                <w:sz w:val="18"/>
                <w:szCs w:val="18"/>
              </w:rPr>
              <w:t>Pplateau</w:t>
            </w:r>
            <w:proofErr w:type="spellEnd"/>
            <w:r>
              <w:rPr>
                <w:rStyle w:val="short-name"/>
                <w:rFonts w:ascii="Arial Narrow" w:hAnsi="Arial Narrow"/>
                <w:sz w:val="18"/>
                <w:szCs w:val="18"/>
              </w:rPr>
              <w:t>)</w:t>
            </w:r>
          </w:p>
        </w:tc>
        <w:tc>
          <w:tcPr>
            <w:tcW w:w="589" w:type="pct"/>
            <w:tcBorders>
              <w:top w:val="single" w:sz="6" w:space="0" w:color="000000"/>
              <w:left w:val="nil"/>
              <w:bottom w:val="single" w:sz="6" w:space="0" w:color="000000"/>
              <w:right w:val="nil"/>
            </w:tcBorders>
            <w:shd w:val="clear" w:color="auto" w:fill="EBEBEB"/>
            <w:vAlign w:val="center"/>
            <w:hideMark/>
          </w:tcPr>
          <w:p w14:paraId="35FBFE99" w14:textId="77777777" w:rsidR="009F5320" w:rsidRDefault="009F5320" w:rsidP="00350225">
            <w:pPr>
              <w:jc w:val="center"/>
              <w:rPr>
                <w:rFonts w:ascii="Arial Narrow" w:hAnsi="Arial Narrow"/>
                <w:sz w:val="16"/>
                <w:szCs w:val="16"/>
              </w:rPr>
            </w:pPr>
            <w:r>
              <w:rPr>
                <w:rStyle w:val="cell-value"/>
                <w:rFonts w:ascii="Arial Narrow" w:hAnsi="Arial Narrow"/>
                <w:sz w:val="16"/>
                <w:szCs w:val="16"/>
              </w:rPr>
              <w:t xml:space="preserve">The </w:t>
            </w:r>
            <w:proofErr w:type="spellStart"/>
            <w:r>
              <w:rPr>
                <w:rStyle w:val="cell-value"/>
                <w:rFonts w:ascii="Arial Narrow" w:hAnsi="Arial Narrow"/>
                <w:sz w:val="16"/>
                <w:szCs w:val="16"/>
              </w:rPr>
              <w:t>mean</w:t>
            </w:r>
            <w:proofErr w:type="spellEnd"/>
            <w:r>
              <w:rPr>
                <w:rStyle w:val="cell-value"/>
                <w:rFonts w:ascii="Arial Narrow" w:hAnsi="Arial Narrow"/>
                <w:sz w:val="16"/>
                <w:szCs w:val="16"/>
              </w:rPr>
              <w:t xml:space="preserve"> </w:t>
            </w:r>
            <w:proofErr w:type="spellStart"/>
            <w:r>
              <w:rPr>
                <w:rStyle w:val="cell-value"/>
                <w:rFonts w:ascii="Arial Narrow" w:hAnsi="Arial Narrow"/>
                <w:sz w:val="16"/>
                <w:szCs w:val="16"/>
              </w:rPr>
              <w:t>plateau</w:t>
            </w:r>
            <w:proofErr w:type="spellEnd"/>
            <w:r>
              <w:rPr>
                <w:rStyle w:val="cell-value"/>
                <w:rFonts w:ascii="Arial Narrow" w:hAnsi="Arial Narrow"/>
                <w:sz w:val="16"/>
                <w:szCs w:val="16"/>
              </w:rPr>
              <w:t xml:space="preserve"> </w:t>
            </w:r>
            <w:proofErr w:type="spellStart"/>
            <w:r>
              <w:rPr>
                <w:rStyle w:val="cell-value"/>
                <w:rFonts w:ascii="Arial Narrow" w:hAnsi="Arial Narrow"/>
                <w:sz w:val="16"/>
                <w:szCs w:val="16"/>
              </w:rPr>
              <w:t>pressure</w:t>
            </w:r>
            <w:proofErr w:type="spellEnd"/>
            <w:r>
              <w:rPr>
                <w:rStyle w:val="cell-value"/>
                <w:rFonts w:ascii="Arial Narrow" w:hAnsi="Arial Narrow"/>
                <w:sz w:val="16"/>
                <w:szCs w:val="16"/>
              </w:rPr>
              <w:t xml:space="preserve"> </w:t>
            </w:r>
            <w:proofErr w:type="spellStart"/>
            <w:r>
              <w:rPr>
                <w:rStyle w:val="cell-value"/>
                <w:rFonts w:ascii="Arial Narrow" w:hAnsi="Arial Narrow"/>
                <w:sz w:val="16"/>
                <w:szCs w:val="16"/>
              </w:rPr>
              <w:t>was</w:t>
            </w:r>
            <w:proofErr w:type="spellEnd"/>
            <w:r>
              <w:rPr>
                <w:rStyle w:val="cell-value"/>
                <w:rFonts w:ascii="Arial Narrow" w:hAnsi="Arial Narrow"/>
                <w:sz w:val="16"/>
                <w:szCs w:val="16"/>
              </w:rPr>
              <w:t xml:space="preserve"> </w:t>
            </w:r>
            <w:r>
              <w:rPr>
                <w:rStyle w:val="cell-value"/>
                <w:rFonts w:ascii="Arial Narrow" w:hAnsi="Arial Narrow"/>
                <w:b/>
                <w:bCs/>
                <w:sz w:val="16"/>
                <w:szCs w:val="16"/>
              </w:rPr>
              <w:t>0</w:t>
            </w:r>
            <w:r>
              <w:rPr>
                <w:rStyle w:val="cell-value"/>
                <w:rFonts w:ascii="Arial Narrow" w:hAnsi="Arial Narrow"/>
                <w:sz w:val="16"/>
                <w:szCs w:val="16"/>
              </w:rPr>
              <w:t xml:space="preserve"> cmH2O</w:t>
            </w:r>
          </w:p>
        </w:tc>
        <w:tc>
          <w:tcPr>
            <w:tcW w:w="589" w:type="pct"/>
            <w:tcBorders>
              <w:top w:val="single" w:sz="6" w:space="0" w:color="000000"/>
              <w:left w:val="nil"/>
              <w:bottom w:val="single" w:sz="6" w:space="0" w:color="000000"/>
              <w:right w:val="nil"/>
            </w:tcBorders>
            <w:shd w:val="clear" w:color="auto" w:fill="EBEBEB"/>
            <w:hideMark/>
          </w:tcPr>
          <w:p w14:paraId="1F630375" w14:textId="77777777" w:rsidR="009F5320" w:rsidRDefault="009F5320" w:rsidP="00350225">
            <w:pPr>
              <w:jc w:val="center"/>
              <w:rPr>
                <w:rFonts w:ascii="Arial Narrow" w:hAnsi="Arial Narrow"/>
                <w:sz w:val="16"/>
                <w:szCs w:val="16"/>
              </w:rPr>
            </w:pPr>
            <w:r>
              <w:rPr>
                <w:rStyle w:val="cell-value"/>
                <w:rFonts w:ascii="Arial Narrow" w:hAnsi="Arial Narrow"/>
                <w:sz w:val="16"/>
                <w:szCs w:val="16"/>
              </w:rPr>
              <w:t xml:space="preserve">MD </w:t>
            </w:r>
            <w:r>
              <w:rPr>
                <w:rStyle w:val="cell-value"/>
                <w:rFonts w:ascii="Arial Narrow" w:hAnsi="Arial Narrow"/>
                <w:b/>
                <w:bCs/>
                <w:sz w:val="16"/>
                <w:szCs w:val="16"/>
              </w:rPr>
              <w:t xml:space="preserve">2.49 cmH2O </w:t>
            </w:r>
            <w:proofErr w:type="spellStart"/>
            <w:r>
              <w:rPr>
                <w:rStyle w:val="cell-value"/>
                <w:rFonts w:ascii="Arial Narrow" w:hAnsi="Arial Narrow"/>
                <w:b/>
                <w:bCs/>
                <w:sz w:val="16"/>
                <w:szCs w:val="16"/>
              </w:rPr>
              <w:t>higher</w:t>
            </w:r>
            <w:proofErr w:type="spellEnd"/>
            <w:r>
              <w:rPr>
                <w:rFonts w:ascii="Arial Narrow" w:hAnsi="Arial Narrow"/>
                <w:sz w:val="16"/>
                <w:szCs w:val="16"/>
              </w:rPr>
              <w:br/>
            </w:r>
            <w:r>
              <w:rPr>
                <w:rStyle w:val="cell-value"/>
                <w:rFonts w:ascii="Arial Narrow" w:hAnsi="Arial Narrow"/>
                <w:sz w:val="16"/>
                <w:szCs w:val="16"/>
              </w:rPr>
              <w:t xml:space="preserve">(1.08 </w:t>
            </w:r>
            <w:proofErr w:type="spellStart"/>
            <w:r>
              <w:rPr>
                <w:rStyle w:val="cell-value"/>
                <w:rFonts w:ascii="Arial Narrow" w:hAnsi="Arial Narrow"/>
                <w:sz w:val="16"/>
                <w:szCs w:val="16"/>
              </w:rPr>
              <w:t>higher</w:t>
            </w:r>
            <w:proofErr w:type="spellEnd"/>
            <w:r>
              <w:rPr>
                <w:rStyle w:val="cell-value"/>
                <w:rFonts w:ascii="Arial Narrow" w:hAnsi="Arial Narrow"/>
                <w:sz w:val="16"/>
                <w:szCs w:val="16"/>
              </w:rPr>
              <w:t xml:space="preserve"> </w:t>
            </w:r>
            <w:proofErr w:type="spellStart"/>
            <w:r>
              <w:rPr>
                <w:rStyle w:val="cell-value"/>
                <w:rFonts w:ascii="Arial Narrow" w:hAnsi="Arial Narrow"/>
                <w:sz w:val="16"/>
                <w:szCs w:val="16"/>
              </w:rPr>
              <w:t>to</w:t>
            </w:r>
            <w:proofErr w:type="spellEnd"/>
            <w:r>
              <w:rPr>
                <w:rStyle w:val="cell-value"/>
                <w:rFonts w:ascii="Arial Narrow" w:hAnsi="Arial Narrow"/>
                <w:sz w:val="16"/>
                <w:szCs w:val="16"/>
              </w:rPr>
              <w:t xml:space="preserve"> 3.9 </w:t>
            </w:r>
            <w:proofErr w:type="spellStart"/>
            <w:r>
              <w:rPr>
                <w:rStyle w:val="cell-value"/>
                <w:rFonts w:ascii="Arial Narrow" w:hAnsi="Arial Narrow"/>
                <w:sz w:val="16"/>
                <w:szCs w:val="16"/>
              </w:rPr>
              <w:t>higher</w:t>
            </w:r>
            <w:proofErr w:type="spellEnd"/>
            <w:r>
              <w:rPr>
                <w:rStyle w:val="cell-value"/>
                <w:rFonts w:ascii="Arial Narrow" w:hAnsi="Arial Narrow"/>
                <w:sz w:val="16"/>
                <w:szCs w:val="16"/>
              </w:rPr>
              <w:t>)</w:t>
            </w:r>
          </w:p>
        </w:tc>
        <w:tc>
          <w:tcPr>
            <w:tcW w:w="589" w:type="pct"/>
            <w:tcBorders>
              <w:top w:val="single" w:sz="6" w:space="0" w:color="000000"/>
              <w:left w:val="nil"/>
              <w:bottom w:val="single" w:sz="6" w:space="0" w:color="000000"/>
              <w:right w:val="nil"/>
            </w:tcBorders>
            <w:vAlign w:val="center"/>
            <w:hideMark/>
          </w:tcPr>
          <w:p w14:paraId="34886B1C" w14:textId="77777777" w:rsidR="009F5320" w:rsidRDefault="009F5320" w:rsidP="00350225">
            <w:pPr>
              <w:jc w:val="center"/>
              <w:rPr>
                <w:rFonts w:ascii="Arial Narrow" w:hAnsi="Arial Narrow"/>
                <w:sz w:val="16"/>
                <w:szCs w:val="16"/>
              </w:rPr>
            </w:pPr>
            <w:r>
              <w:rPr>
                <w:rStyle w:val="cell"/>
                <w:rFonts w:ascii="Arial Narrow" w:hAnsi="Arial Narrow"/>
                <w:sz w:val="16"/>
                <w:szCs w:val="16"/>
              </w:rPr>
              <w:t>-</w:t>
            </w:r>
          </w:p>
        </w:tc>
        <w:tc>
          <w:tcPr>
            <w:tcW w:w="589" w:type="pct"/>
            <w:tcBorders>
              <w:top w:val="single" w:sz="6" w:space="0" w:color="000000"/>
              <w:left w:val="nil"/>
              <w:bottom w:val="single" w:sz="6" w:space="0" w:color="000000"/>
              <w:right w:val="nil"/>
            </w:tcBorders>
            <w:vAlign w:val="center"/>
            <w:hideMark/>
          </w:tcPr>
          <w:p w14:paraId="7081CF36" w14:textId="77777777" w:rsidR="009F5320" w:rsidRDefault="009F5320" w:rsidP="00350225">
            <w:pPr>
              <w:jc w:val="center"/>
              <w:rPr>
                <w:rFonts w:ascii="Arial Narrow" w:hAnsi="Arial Narrow"/>
                <w:sz w:val="16"/>
                <w:szCs w:val="16"/>
              </w:rPr>
            </w:pPr>
            <w:r>
              <w:rPr>
                <w:rFonts w:ascii="Arial Narrow" w:hAnsi="Arial Narrow"/>
                <w:sz w:val="16"/>
                <w:szCs w:val="16"/>
              </w:rPr>
              <w:t>1762</w:t>
            </w:r>
            <w:r>
              <w:rPr>
                <w:rFonts w:ascii="Arial Narrow" w:hAnsi="Arial Narrow"/>
                <w:sz w:val="16"/>
                <w:szCs w:val="16"/>
              </w:rPr>
              <w:br/>
              <w:t xml:space="preserve">(18 </w:t>
            </w:r>
            <w:proofErr w:type="spellStart"/>
            <w:r>
              <w:rPr>
                <w:rFonts w:ascii="Arial Narrow" w:hAnsi="Arial Narrow"/>
                <w:sz w:val="16"/>
                <w:szCs w:val="16"/>
              </w:rPr>
              <w:t>RCTs</w:t>
            </w:r>
            <w:proofErr w:type="spellEnd"/>
            <w:r>
              <w:rPr>
                <w:rFonts w:ascii="Arial Narrow" w:hAnsi="Arial Narrow"/>
                <w:sz w:val="16"/>
                <w:szCs w:val="16"/>
              </w:rPr>
              <w:t>)</w:t>
            </w:r>
          </w:p>
        </w:tc>
        <w:tc>
          <w:tcPr>
            <w:tcW w:w="581" w:type="pct"/>
            <w:tcBorders>
              <w:top w:val="single" w:sz="6" w:space="0" w:color="000000"/>
              <w:left w:val="nil"/>
              <w:bottom w:val="single" w:sz="6" w:space="0" w:color="000000"/>
              <w:right w:val="nil"/>
            </w:tcBorders>
            <w:vAlign w:val="center"/>
            <w:hideMark/>
          </w:tcPr>
          <w:p w14:paraId="3EF733BE" w14:textId="77777777" w:rsidR="009F5320" w:rsidRDefault="009F5320" w:rsidP="00350225">
            <w:pPr>
              <w:jc w:val="center"/>
              <w:rPr>
                <w:rFonts w:ascii="Arial Narrow" w:hAnsi="Arial Narrow"/>
                <w:sz w:val="16"/>
                <w:szCs w:val="16"/>
              </w:rPr>
            </w:pPr>
            <w:r>
              <w:rPr>
                <w:rStyle w:val="quality-sign"/>
                <w:rFonts w:ascii="Cambria Math" w:hAnsi="Cambria Math" w:cs="Cambria Math"/>
                <w:sz w:val="21"/>
                <w:szCs w:val="21"/>
              </w:rPr>
              <w:t>⨁⨁◯◯</w:t>
            </w:r>
            <w:r>
              <w:rPr>
                <w:rFonts w:ascii="Arial Narrow" w:hAnsi="Arial Narrow"/>
                <w:sz w:val="16"/>
                <w:szCs w:val="16"/>
              </w:rPr>
              <w:br/>
            </w:r>
            <w:proofErr w:type="spellStart"/>
            <w:r>
              <w:rPr>
                <w:rStyle w:val="quality-text"/>
                <w:rFonts w:ascii="Arial Narrow" w:hAnsi="Arial Narrow"/>
                <w:sz w:val="16"/>
                <w:szCs w:val="16"/>
              </w:rPr>
              <w:t>Low</w:t>
            </w:r>
            <w:r>
              <w:rPr>
                <w:rFonts w:ascii="Arial Narrow" w:hAnsi="Arial Narrow"/>
                <w:sz w:val="16"/>
                <w:szCs w:val="16"/>
                <w:vertAlign w:val="superscript"/>
              </w:rPr>
              <w:t>b</w:t>
            </w:r>
            <w:proofErr w:type="spellEnd"/>
          </w:p>
        </w:tc>
        <w:tc>
          <w:tcPr>
            <w:tcW w:w="1292" w:type="pct"/>
            <w:tcBorders>
              <w:top w:val="single" w:sz="6" w:space="0" w:color="000000"/>
              <w:left w:val="nil"/>
              <w:bottom w:val="single" w:sz="6" w:space="0" w:color="000000"/>
              <w:right w:val="nil"/>
            </w:tcBorders>
            <w:vAlign w:val="center"/>
            <w:hideMark/>
          </w:tcPr>
          <w:p w14:paraId="2C88D3DF" w14:textId="77777777" w:rsidR="009F5320" w:rsidRDefault="009F5320" w:rsidP="00350225">
            <w:pPr>
              <w:jc w:val="center"/>
              <w:rPr>
                <w:rFonts w:ascii="Arial Narrow" w:hAnsi="Arial Narrow"/>
                <w:sz w:val="16"/>
                <w:szCs w:val="16"/>
              </w:rPr>
            </w:pPr>
          </w:p>
        </w:tc>
      </w:tr>
      <w:tr w:rsidR="009F5320" w14:paraId="70DB078D" w14:textId="77777777" w:rsidTr="009F5320">
        <w:trPr>
          <w:cantSplit/>
        </w:trPr>
        <w:tc>
          <w:tcPr>
            <w:tcW w:w="770" w:type="pct"/>
            <w:tcBorders>
              <w:top w:val="single" w:sz="6" w:space="0" w:color="000000"/>
              <w:left w:val="nil"/>
              <w:bottom w:val="single" w:sz="6" w:space="0" w:color="000000"/>
              <w:right w:val="nil"/>
            </w:tcBorders>
            <w:vAlign w:val="center"/>
          </w:tcPr>
          <w:p w14:paraId="3D01AD24" w14:textId="77777777" w:rsidR="009F5320" w:rsidRDefault="009F5320" w:rsidP="00350225">
            <w:pPr>
              <w:jc w:val="center"/>
              <w:rPr>
                <w:rStyle w:val="label"/>
                <w:rFonts w:ascii="Arial Narrow" w:hAnsi="Arial Narrow"/>
                <w:sz w:val="18"/>
                <w:szCs w:val="18"/>
              </w:rPr>
            </w:pPr>
            <w:r>
              <w:rPr>
                <w:rStyle w:val="label"/>
                <w:rFonts w:ascii="Arial Narrow" w:hAnsi="Arial Narrow"/>
                <w:sz w:val="18"/>
                <w:szCs w:val="18"/>
              </w:rPr>
              <w:t xml:space="preserve">Duration of </w:t>
            </w:r>
            <w:proofErr w:type="spellStart"/>
            <w:r>
              <w:rPr>
                <w:rStyle w:val="label"/>
                <w:rFonts w:ascii="Arial Narrow" w:hAnsi="Arial Narrow"/>
                <w:sz w:val="18"/>
                <w:szCs w:val="18"/>
              </w:rPr>
              <w:t>anesthesia</w:t>
            </w:r>
            <w:proofErr w:type="spellEnd"/>
            <w:r>
              <w:rPr>
                <w:rStyle w:val="label"/>
                <w:rFonts w:ascii="Arial Narrow" w:hAnsi="Arial Narrow"/>
                <w:sz w:val="18"/>
                <w:szCs w:val="18"/>
              </w:rPr>
              <w:t xml:space="preserve"> (min)</w:t>
            </w:r>
          </w:p>
        </w:tc>
        <w:tc>
          <w:tcPr>
            <w:tcW w:w="589" w:type="pct"/>
            <w:tcBorders>
              <w:top w:val="single" w:sz="6" w:space="0" w:color="000000"/>
              <w:left w:val="nil"/>
              <w:bottom w:val="single" w:sz="6" w:space="0" w:color="000000"/>
              <w:right w:val="nil"/>
            </w:tcBorders>
            <w:shd w:val="clear" w:color="auto" w:fill="EBEBEB"/>
            <w:vAlign w:val="center"/>
          </w:tcPr>
          <w:p w14:paraId="045C14B3" w14:textId="77777777" w:rsidR="009F5320" w:rsidRDefault="009F5320" w:rsidP="00350225">
            <w:pPr>
              <w:jc w:val="center"/>
              <w:rPr>
                <w:rStyle w:val="cell-value"/>
                <w:rFonts w:ascii="Arial Narrow" w:hAnsi="Arial Narrow"/>
                <w:sz w:val="16"/>
                <w:szCs w:val="16"/>
              </w:rPr>
            </w:pPr>
            <w:r>
              <w:rPr>
                <w:rStyle w:val="cell-value"/>
                <w:rFonts w:ascii="Arial Narrow" w:hAnsi="Arial Narrow"/>
                <w:sz w:val="16"/>
                <w:szCs w:val="16"/>
              </w:rPr>
              <w:t xml:space="preserve">The </w:t>
            </w:r>
            <w:proofErr w:type="spellStart"/>
            <w:r>
              <w:rPr>
                <w:rStyle w:val="cell-value"/>
                <w:rFonts w:ascii="Arial Narrow" w:hAnsi="Arial Narrow"/>
                <w:sz w:val="16"/>
                <w:szCs w:val="16"/>
              </w:rPr>
              <w:t>mean</w:t>
            </w:r>
            <w:proofErr w:type="spellEnd"/>
            <w:r>
              <w:rPr>
                <w:rStyle w:val="cell-value"/>
                <w:rFonts w:ascii="Arial Narrow" w:hAnsi="Arial Narrow"/>
                <w:sz w:val="16"/>
                <w:szCs w:val="16"/>
              </w:rPr>
              <w:t xml:space="preserve"> </w:t>
            </w:r>
            <w:proofErr w:type="spellStart"/>
            <w:r>
              <w:rPr>
                <w:rStyle w:val="cell-value"/>
                <w:rFonts w:ascii="Arial Narrow" w:hAnsi="Arial Narrow"/>
                <w:sz w:val="16"/>
                <w:szCs w:val="16"/>
              </w:rPr>
              <w:t>duration</w:t>
            </w:r>
            <w:proofErr w:type="spellEnd"/>
            <w:r>
              <w:rPr>
                <w:rStyle w:val="cell-value"/>
                <w:rFonts w:ascii="Arial Narrow" w:hAnsi="Arial Narrow"/>
                <w:sz w:val="16"/>
                <w:szCs w:val="16"/>
              </w:rPr>
              <w:t xml:space="preserve"> of </w:t>
            </w:r>
            <w:proofErr w:type="spellStart"/>
            <w:r>
              <w:rPr>
                <w:rStyle w:val="cell-value"/>
                <w:rFonts w:ascii="Arial Narrow" w:hAnsi="Arial Narrow"/>
                <w:sz w:val="16"/>
                <w:szCs w:val="16"/>
              </w:rPr>
              <w:t>anesthesia</w:t>
            </w:r>
            <w:proofErr w:type="spellEnd"/>
            <w:r>
              <w:rPr>
                <w:rStyle w:val="cell-value"/>
                <w:rFonts w:ascii="Arial Narrow" w:hAnsi="Arial Narrow"/>
                <w:sz w:val="16"/>
                <w:szCs w:val="16"/>
              </w:rPr>
              <w:t xml:space="preserve"> (min) </w:t>
            </w:r>
            <w:proofErr w:type="spellStart"/>
            <w:r>
              <w:rPr>
                <w:rStyle w:val="cell-value"/>
                <w:rFonts w:ascii="Arial Narrow" w:hAnsi="Arial Narrow"/>
                <w:sz w:val="16"/>
                <w:szCs w:val="16"/>
              </w:rPr>
              <w:t>was</w:t>
            </w:r>
            <w:proofErr w:type="spellEnd"/>
            <w:r>
              <w:rPr>
                <w:rStyle w:val="cell-value"/>
                <w:rFonts w:ascii="Arial Narrow" w:hAnsi="Arial Narrow"/>
                <w:sz w:val="16"/>
                <w:szCs w:val="16"/>
              </w:rPr>
              <w:t xml:space="preserve"> </w:t>
            </w:r>
            <w:r>
              <w:rPr>
                <w:rStyle w:val="cell-value"/>
                <w:rFonts w:ascii="Arial Narrow" w:hAnsi="Arial Narrow"/>
                <w:b/>
                <w:bCs/>
                <w:sz w:val="16"/>
                <w:szCs w:val="16"/>
              </w:rPr>
              <w:t>0</w:t>
            </w:r>
            <w:r>
              <w:rPr>
                <w:rStyle w:val="cell-value"/>
                <w:rFonts w:ascii="Arial Narrow" w:hAnsi="Arial Narrow"/>
                <w:sz w:val="16"/>
                <w:szCs w:val="16"/>
              </w:rPr>
              <w:t xml:space="preserve"> min</w:t>
            </w:r>
          </w:p>
        </w:tc>
        <w:tc>
          <w:tcPr>
            <w:tcW w:w="589" w:type="pct"/>
            <w:tcBorders>
              <w:top w:val="single" w:sz="6" w:space="0" w:color="000000"/>
              <w:left w:val="nil"/>
              <w:bottom w:val="single" w:sz="6" w:space="0" w:color="000000"/>
              <w:right w:val="nil"/>
            </w:tcBorders>
            <w:shd w:val="clear" w:color="auto" w:fill="EBEBEB"/>
          </w:tcPr>
          <w:p w14:paraId="5B92C99A" w14:textId="77777777" w:rsidR="009F5320" w:rsidRDefault="009F5320" w:rsidP="00350225">
            <w:pPr>
              <w:jc w:val="center"/>
              <w:rPr>
                <w:rStyle w:val="cell-value"/>
                <w:rFonts w:ascii="Arial Narrow" w:hAnsi="Arial Narrow"/>
                <w:sz w:val="16"/>
                <w:szCs w:val="16"/>
              </w:rPr>
            </w:pPr>
            <w:r>
              <w:rPr>
                <w:rStyle w:val="cell-value"/>
                <w:rFonts w:ascii="Arial Narrow" w:hAnsi="Arial Narrow"/>
                <w:sz w:val="16"/>
                <w:szCs w:val="16"/>
              </w:rPr>
              <w:t xml:space="preserve">MD </w:t>
            </w:r>
            <w:r>
              <w:rPr>
                <w:rStyle w:val="cell-value"/>
                <w:rFonts w:ascii="Arial Narrow" w:hAnsi="Arial Narrow"/>
                <w:b/>
                <w:bCs/>
                <w:sz w:val="16"/>
                <w:szCs w:val="16"/>
              </w:rPr>
              <w:t xml:space="preserve">0.49 min </w:t>
            </w:r>
            <w:proofErr w:type="spellStart"/>
            <w:r>
              <w:rPr>
                <w:rStyle w:val="cell-value"/>
                <w:rFonts w:ascii="Arial Narrow" w:hAnsi="Arial Narrow"/>
                <w:b/>
                <w:bCs/>
                <w:sz w:val="16"/>
                <w:szCs w:val="16"/>
              </w:rPr>
              <w:t>higher</w:t>
            </w:r>
            <w:proofErr w:type="spellEnd"/>
            <w:r>
              <w:rPr>
                <w:rFonts w:ascii="Arial Narrow" w:hAnsi="Arial Narrow"/>
                <w:sz w:val="16"/>
                <w:szCs w:val="16"/>
              </w:rPr>
              <w:br/>
            </w:r>
            <w:r>
              <w:rPr>
                <w:rStyle w:val="cell-value"/>
                <w:rFonts w:ascii="Arial Narrow" w:hAnsi="Arial Narrow"/>
                <w:sz w:val="16"/>
                <w:szCs w:val="16"/>
              </w:rPr>
              <w:t xml:space="preserve">(6.08 </w:t>
            </w:r>
            <w:proofErr w:type="spellStart"/>
            <w:r>
              <w:rPr>
                <w:rStyle w:val="cell-value"/>
                <w:rFonts w:ascii="Arial Narrow" w:hAnsi="Arial Narrow"/>
                <w:sz w:val="16"/>
                <w:szCs w:val="16"/>
              </w:rPr>
              <w:t>lower</w:t>
            </w:r>
            <w:proofErr w:type="spellEnd"/>
            <w:r>
              <w:rPr>
                <w:rStyle w:val="cell-value"/>
                <w:rFonts w:ascii="Arial Narrow" w:hAnsi="Arial Narrow"/>
                <w:sz w:val="16"/>
                <w:szCs w:val="16"/>
              </w:rPr>
              <w:t xml:space="preserve"> </w:t>
            </w:r>
            <w:proofErr w:type="spellStart"/>
            <w:r>
              <w:rPr>
                <w:rStyle w:val="cell-value"/>
                <w:rFonts w:ascii="Arial Narrow" w:hAnsi="Arial Narrow"/>
                <w:sz w:val="16"/>
                <w:szCs w:val="16"/>
              </w:rPr>
              <w:t>to</w:t>
            </w:r>
            <w:proofErr w:type="spellEnd"/>
            <w:r>
              <w:rPr>
                <w:rStyle w:val="cell-value"/>
                <w:rFonts w:ascii="Arial Narrow" w:hAnsi="Arial Narrow"/>
                <w:sz w:val="16"/>
                <w:szCs w:val="16"/>
              </w:rPr>
              <w:t xml:space="preserve"> 7.06 </w:t>
            </w:r>
            <w:proofErr w:type="spellStart"/>
            <w:r>
              <w:rPr>
                <w:rStyle w:val="cell-value"/>
                <w:rFonts w:ascii="Arial Narrow" w:hAnsi="Arial Narrow"/>
                <w:sz w:val="16"/>
                <w:szCs w:val="16"/>
              </w:rPr>
              <w:t>higher</w:t>
            </w:r>
            <w:proofErr w:type="spellEnd"/>
            <w:r>
              <w:rPr>
                <w:rStyle w:val="cell-value"/>
                <w:rFonts w:ascii="Arial Narrow" w:hAnsi="Arial Narrow"/>
                <w:sz w:val="16"/>
                <w:szCs w:val="16"/>
              </w:rPr>
              <w:t>)</w:t>
            </w:r>
          </w:p>
        </w:tc>
        <w:tc>
          <w:tcPr>
            <w:tcW w:w="589" w:type="pct"/>
            <w:tcBorders>
              <w:top w:val="single" w:sz="6" w:space="0" w:color="000000"/>
              <w:left w:val="nil"/>
              <w:bottom w:val="single" w:sz="6" w:space="0" w:color="000000"/>
              <w:right w:val="nil"/>
            </w:tcBorders>
            <w:vAlign w:val="center"/>
          </w:tcPr>
          <w:p w14:paraId="294D0A17" w14:textId="77777777" w:rsidR="009F5320" w:rsidRDefault="009F5320" w:rsidP="00350225">
            <w:pPr>
              <w:jc w:val="center"/>
              <w:rPr>
                <w:rStyle w:val="cell"/>
                <w:rFonts w:ascii="Arial Narrow" w:hAnsi="Arial Narrow"/>
                <w:sz w:val="16"/>
                <w:szCs w:val="16"/>
              </w:rPr>
            </w:pPr>
            <w:r>
              <w:rPr>
                <w:rStyle w:val="cell"/>
                <w:rFonts w:ascii="Arial Narrow" w:hAnsi="Arial Narrow"/>
                <w:sz w:val="16"/>
                <w:szCs w:val="16"/>
              </w:rPr>
              <w:t>-</w:t>
            </w:r>
          </w:p>
        </w:tc>
        <w:tc>
          <w:tcPr>
            <w:tcW w:w="589" w:type="pct"/>
            <w:tcBorders>
              <w:top w:val="single" w:sz="6" w:space="0" w:color="000000"/>
              <w:left w:val="nil"/>
              <w:bottom w:val="single" w:sz="6" w:space="0" w:color="000000"/>
              <w:right w:val="nil"/>
            </w:tcBorders>
            <w:vAlign w:val="center"/>
          </w:tcPr>
          <w:p w14:paraId="0B88D279" w14:textId="77777777" w:rsidR="009F5320" w:rsidRDefault="009F5320" w:rsidP="00350225">
            <w:pPr>
              <w:jc w:val="center"/>
              <w:rPr>
                <w:rFonts w:ascii="Arial Narrow" w:hAnsi="Arial Narrow"/>
                <w:sz w:val="16"/>
                <w:szCs w:val="16"/>
              </w:rPr>
            </w:pPr>
            <w:r>
              <w:rPr>
                <w:rFonts w:ascii="Arial Narrow" w:hAnsi="Arial Narrow"/>
                <w:sz w:val="16"/>
                <w:szCs w:val="16"/>
              </w:rPr>
              <w:t>1822</w:t>
            </w:r>
            <w:r>
              <w:rPr>
                <w:rFonts w:ascii="Arial Narrow" w:hAnsi="Arial Narrow"/>
                <w:sz w:val="16"/>
                <w:szCs w:val="16"/>
              </w:rPr>
              <w:br/>
              <w:t xml:space="preserve">(19 </w:t>
            </w:r>
            <w:proofErr w:type="spellStart"/>
            <w:r>
              <w:rPr>
                <w:rFonts w:ascii="Arial Narrow" w:hAnsi="Arial Narrow"/>
                <w:sz w:val="16"/>
                <w:szCs w:val="16"/>
              </w:rPr>
              <w:t>RCTs</w:t>
            </w:r>
            <w:proofErr w:type="spellEnd"/>
            <w:r>
              <w:rPr>
                <w:rFonts w:ascii="Arial Narrow" w:hAnsi="Arial Narrow"/>
                <w:sz w:val="16"/>
                <w:szCs w:val="16"/>
              </w:rPr>
              <w:t>)</w:t>
            </w:r>
          </w:p>
        </w:tc>
        <w:tc>
          <w:tcPr>
            <w:tcW w:w="581" w:type="pct"/>
            <w:tcBorders>
              <w:top w:val="single" w:sz="6" w:space="0" w:color="000000"/>
              <w:left w:val="nil"/>
              <w:bottom w:val="single" w:sz="6" w:space="0" w:color="000000"/>
              <w:right w:val="nil"/>
            </w:tcBorders>
            <w:vAlign w:val="center"/>
          </w:tcPr>
          <w:p w14:paraId="1AFF35B0" w14:textId="77777777" w:rsidR="009F5320" w:rsidRDefault="009F5320" w:rsidP="00350225">
            <w:pPr>
              <w:jc w:val="center"/>
              <w:rPr>
                <w:rStyle w:val="quality-sign"/>
                <w:rFonts w:ascii="Cambria Math" w:hAnsi="Cambria Math" w:cs="Cambria Math"/>
                <w:sz w:val="21"/>
                <w:szCs w:val="21"/>
              </w:rPr>
            </w:pPr>
            <w:r>
              <w:rPr>
                <w:rStyle w:val="quality-sign"/>
                <w:rFonts w:ascii="Cambria Math" w:hAnsi="Cambria Math" w:cs="Cambria Math"/>
                <w:sz w:val="21"/>
                <w:szCs w:val="21"/>
              </w:rPr>
              <w:t>⨁⨁⨁⨁</w:t>
            </w:r>
            <w:r>
              <w:rPr>
                <w:rFonts w:ascii="Arial Narrow" w:hAnsi="Arial Narrow"/>
                <w:sz w:val="16"/>
                <w:szCs w:val="16"/>
              </w:rPr>
              <w:br/>
            </w:r>
            <w:proofErr w:type="spellStart"/>
            <w:r>
              <w:rPr>
                <w:rStyle w:val="quality-text"/>
                <w:rFonts w:ascii="Arial Narrow" w:hAnsi="Arial Narrow"/>
                <w:sz w:val="16"/>
                <w:szCs w:val="16"/>
              </w:rPr>
              <w:t>High</w:t>
            </w:r>
            <w:proofErr w:type="spellEnd"/>
          </w:p>
        </w:tc>
        <w:tc>
          <w:tcPr>
            <w:tcW w:w="1292" w:type="pct"/>
            <w:tcBorders>
              <w:top w:val="single" w:sz="6" w:space="0" w:color="000000"/>
              <w:left w:val="nil"/>
              <w:bottom w:val="single" w:sz="6" w:space="0" w:color="000000"/>
              <w:right w:val="nil"/>
            </w:tcBorders>
            <w:vAlign w:val="center"/>
          </w:tcPr>
          <w:p w14:paraId="4BBB7096" w14:textId="77777777" w:rsidR="009F5320" w:rsidRDefault="009F5320" w:rsidP="00350225">
            <w:pPr>
              <w:jc w:val="center"/>
              <w:rPr>
                <w:rFonts w:ascii="Arial Narrow" w:hAnsi="Arial Narrow"/>
                <w:sz w:val="16"/>
                <w:szCs w:val="16"/>
              </w:rPr>
            </w:pPr>
          </w:p>
        </w:tc>
      </w:tr>
      <w:tr w:rsidR="009F5320" w14:paraId="12AC8F58" w14:textId="77777777" w:rsidTr="009F5320">
        <w:trPr>
          <w:cantSplit/>
        </w:trPr>
        <w:tc>
          <w:tcPr>
            <w:tcW w:w="770" w:type="pct"/>
            <w:tcBorders>
              <w:top w:val="single" w:sz="6" w:space="0" w:color="000000"/>
              <w:left w:val="nil"/>
              <w:bottom w:val="single" w:sz="6" w:space="0" w:color="000000"/>
              <w:right w:val="nil"/>
            </w:tcBorders>
            <w:vAlign w:val="center"/>
          </w:tcPr>
          <w:p w14:paraId="1DBD9CFE" w14:textId="77777777" w:rsidR="009F5320" w:rsidRDefault="009F5320" w:rsidP="00350225">
            <w:pPr>
              <w:jc w:val="center"/>
              <w:rPr>
                <w:rStyle w:val="label"/>
                <w:rFonts w:ascii="Arial Narrow" w:hAnsi="Arial Narrow"/>
                <w:sz w:val="18"/>
                <w:szCs w:val="18"/>
              </w:rPr>
            </w:pPr>
            <w:r>
              <w:rPr>
                <w:rStyle w:val="label"/>
                <w:rFonts w:ascii="Arial Narrow" w:hAnsi="Arial Narrow"/>
                <w:sz w:val="18"/>
                <w:szCs w:val="18"/>
              </w:rPr>
              <w:t xml:space="preserve">Duration of </w:t>
            </w:r>
            <w:proofErr w:type="spellStart"/>
            <w:r>
              <w:rPr>
                <w:rStyle w:val="label"/>
                <w:rFonts w:ascii="Arial Narrow" w:hAnsi="Arial Narrow"/>
                <w:sz w:val="18"/>
                <w:szCs w:val="18"/>
              </w:rPr>
              <w:t>surgery</w:t>
            </w:r>
            <w:proofErr w:type="spellEnd"/>
            <w:r>
              <w:rPr>
                <w:rStyle w:val="label"/>
                <w:rFonts w:ascii="Arial Narrow" w:hAnsi="Arial Narrow"/>
                <w:sz w:val="18"/>
                <w:szCs w:val="18"/>
              </w:rPr>
              <w:t xml:space="preserve"> (min)</w:t>
            </w:r>
          </w:p>
        </w:tc>
        <w:tc>
          <w:tcPr>
            <w:tcW w:w="589" w:type="pct"/>
            <w:tcBorders>
              <w:top w:val="single" w:sz="6" w:space="0" w:color="000000"/>
              <w:left w:val="nil"/>
              <w:bottom w:val="single" w:sz="6" w:space="0" w:color="000000"/>
              <w:right w:val="nil"/>
            </w:tcBorders>
            <w:shd w:val="clear" w:color="auto" w:fill="EBEBEB"/>
            <w:vAlign w:val="center"/>
          </w:tcPr>
          <w:p w14:paraId="0E3C7DFD" w14:textId="77777777" w:rsidR="009F5320" w:rsidRDefault="009F5320" w:rsidP="00350225">
            <w:pPr>
              <w:jc w:val="center"/>
              <w:rPr>
                <w:rStyle w:val="cell-value"/>
                <w:rFonts w:ascii="Arial Narrow" w:hAnsi="Arial Narrow"/>
                <w:sz w:val="16"/>
                <w:szCs w:val="16"/>
              </w:rPr>
            </w:pPr>
            <w:r>
              <w:rPr>
                <w:rStyle w:val="cell-value"/>
                <w:rFonts w:ascii="Arial Narrow" w:hAnsi="Arial Narrow"/>
                <w:sz w:val="16"/>
                <w:szCs w:val="16"/>
              </w:rPr>
              <w:t xml:space="preserve">The </w:t>
            </w:r>
            <w:proofErr w:type="spellStart"/>
            <w:r>
              <w:rPr>
                <w:rStyle w:val="cell-value"/>
                <w:rFonts w:ascii="Arial Narrow" w:hAnsi="Arial Narrow"/>
                <w:sz w:val="16"/>
                <w:szCs w:val="16"/>
              </w:rPr>
              <w:t>mean</w:t>
            </w:r>
            <w:proofErr w:type="spellEnd"/>
            <w:r>
              <w:rPr>
                <w:rStyle w:val="cell-value"/>
                <w:rFonts w:ascii="Arial Narrow" w:hAnsi="Arial Narrow"/>
                <w:sz w:val="16"/>
                <w:szCs w:val="16"/>
              </w:rPr>
              <w:t xml:space="preserve"> </w:t>
            </w:r>
            <w:proofErr w:type="spellStart"/>
            <w:r>
              <w:rPr>
                <w:rStyle w:val="cell-value"/>
                <w:rFonts w:ascii="Arial Narrow" w:hAnsi="Arial Narrow"/>
                <w:sz w:val="16"/>
                <w:szCs w:val="16"/>
              </w:rPr>
              <w:t>duration</w:t>
            </w:r>
            <w:proofErr w:type="spellEnd"/>
            <w:r>
              <w:rPr>
                <w:rStyle w:val="cell-value"/>
                <w:rFonts w:ascii="Arial Narrow" w:hAnsi="Arial Narrow"/>
                <w:sz w:val="16"/>
                <w:szCs w:val="16"/>
              </w:rPr>
              <w:t xml:space="preserve"> of </w:t>
            </w:r>
            <w:proofErr w:type="spellStart"/>
            <w:r>
              <w:rPr>
                <w:rStyle w:val="cell-value"/>
                <w:rFonts w:ascii="Arial Narrow" w:hAnsi="Arial Narrow"/>
                <w:sz w:val="16"/>
                <w:szCs w:val="16"/>
              </w:rPr>
              <w:t>surgery</w:t>
            </w:r>
            <w:proofErr w:type="spellEnd"/>
            <w:r>
              <w:rPr>
                <w:rStyle w:val="cell-value"/>
                <w:rFonts w:ascii="Arial Narrow" w:hAnsi="Arial Narrow"/>
                <w:sz w:val="16"/>
                <w:szCs w:val="16"/>
              </w:rPr>
              <w:t xml:space="preserve"> (min) </w:t>
            </w:r>
            <w:proofErr w:type="spellStart"/>
            <w:r>
              <w:rPr>
                <w:rStyle w:val="cell-value"/>
                <w:rFonts w:ascii="Arial Narrow" w:hAnsi="Arial Narrow"/>
                <w:sz w:val="16"/>
                <w:szCs w:val="16"/>
              </w:rPr>
              <w:t>was</w:t>
            </w:r>
            <w:proofErr w:type="spellEnd"/>
            <w:r>
              <w:rPr>
                <w:rStyle w:val="cell-value"/>
                <w:rFonts w:ascii="Arial Narrow" w:hAnsi="Arial Narrow"/>
                <w:sz w:val="16"/>
                <w:szCs w:val="16"/>
              </w:rPr>
              <w:t xml:space="preserve"> </w:t>
            </w:r>
            <w:r>
              <w:rPr>
                <w:rStyle w:val="cell-value"/>
                <w:rFonts w:ascii="Arial Narrow" w:hAnsi="Arial Narrow"/>
                <w:b/>
                <w:bCs/>
                <w:sz w:val="16"/>
                <w:szCs w:val="16"/>
              </w:rPr>
              <w:t>0</w:t>
            </w:r>
            <w:r>
              <w:rPr>
                <w:rStyle w:val="cell-value"/>
                <w:rFonts w:ascii="Arial Narrow" w:hAnsi="Arial Narrow"/>
                <w:sz w:val="16"/>
                <w:szCs w:val="16"/>
              </w:rPr>
              <w:t xml:space="preserve"> min</w:t>
            </w:r>
          </w:p>
        </w:tc>
        <w:tc>
          <w:tcPr>
            <w:tcW w:w="589" w:type="pct"/>
            <w:tcBorders>
              <w:top w:val="single" w:sz="6" w:space="0" w:color="000000"/>
              <w:left w:val="nil"/>
              <w:bottom w:val="single" w:sz="6" w:space="0" w:color="000000"/>
              <w:right w:val="nil"/>
            </w:tcBorders>
            <w:shd w:val="clear" w:color="auto" w:fill="EBEBEB"/>
          </w:tcPr>
          <w:p w14:paraId="41BA11DA" w14:textId="77777777" w:rsidR="009F5320" w:rsidRDefault="009F5320" w:rsidP="00350225">
            <w:pPr>
              <w:jc w:val="center"/>
              <w:rPr>
                <w:rStyle w:val="cell-value"/>
                <w:rFonts w:ascii="Arial Narrow" w:hAnsi="Arial Narrow"/>
                <w:sz w:val="16"/>
                <w:szCs w:val="16"/>
              </w:rPr>
            </w:pPr>
            <w:r>
              <w:rPr>
                <w:rStyle w:val="cell-value"/>
                <w:rFonts w:ascii="Arial Narrow" w:hAnsi="Arial Narrow"/>
                <w:sz w:val="16"/>
                <w:szCs w:val="16"/>
              </w:rPr>
              <w:t xml:space="preserve">MD </w:t>
            </w:r>
            <w:r>
              <w:rPr>
                <w:rStyle w:val="cell-value"/>
                <w:rFonts w:ascii="Arial Narrow" w:hAnsi="Arial Narrow"/>
                <w:b/>
                <w:bCs/>
                <w:sz w:val="16"/>
                <w:szCs w:val="16"/>
              </w:rPr>
              <w:t xml:space="preserve">6.24 min </w:t>
            </w:r>
            <w:proofErr w:type="spellStart"/>
            <w:r>
              <w:rPr>
                <w:rStyle w:val="cell-value"/>
                <w:rFonts w:ascii="Arial Narrow" w:hAnsi="Arial Narrow"/>
                <w:b/>
                <w:bCs/>
                <w:sz w:val="16"/>
                <w:szCs w:val="16"/>
              </w:rPr>
              <w:t>higher</w:t>
            </w:r>
            <w:proofErr w:type="spellEnd"/>
            <w:r>
              <w:rPr>
                <w:rFonts w:ascii="Arial Narrow" w:hAnsi="Arial Narrow"/>
                <w:sz w:val="16"/>
                <w:szCs w:val="16"/>
              </w:rPr>
              <w:br/>
            </w:r>
            <w:r>
              <w:rPr>
                <w:rStyle w:val="cell-value"/>
                <w:rFonts w:ascii="Arial Narrow" w:hAnsi="Arial Narrow"/>
                <w:sz w:val="16"/>
                <w:szCs w:val="16"/>
              </w:rPr>
              <w:t xml:space="preserve">(2.16 </w:t>
            </w:r>
            <w:proofErr w:type="spellStart"/>
            <w:r>
              <w:rPr>
                <w:rStyle w:val="cell-value"/>
                <w:rFonts w:ascii="Arial Narrow" w:hAnsi="Arial Narrow"/>
                <w:sz w:val="16"/>
                <w:szCs w:val="16"/>
              </w:rPr>
              <w:t>lower</w:t>
            </w:r>
            <w:proofErr w:type="spellEnd"/>
            <w:r>
              <w:rPr>
                <w:rStyle w:val="cell-value"/>
                <w:rFonts w:ascii="Arial Narrow" w:hAnsi="Arial Narrow"/>
                <w:sz w:val="16"/>
                <w:szCs w:val="16"/>
              </w:rPr>
              <w:t xml:space="preserve"> </w:t>
            </w:r>
            <w:proofErr w:type="spellStart"/>
            <w:r>
              <w:rPr>
                <w:rStyle w:val="cell-value"/>
                <w:rFonts w:ascii="Arial Narrow" w:hAnsi="Arial Narrow"/>
                <w:sz w:val="16"/>
                <w:szCs w:val="16"/>
              </w:rPr>
              <w:t>to</w:t>
            </w:r>
            <w:proofErr w:type="spellEnd"/>
            <w:r>
              <w:rPr>
                <w:rStyle w:val="cell-value"/>
                <w:rFonts w:ascii="Arial Narrow" w:hAnsi="Arial Narrow"/>
                <w:sz w:val="16"/>
                <w:szCs w:val="16"/>
              </w:rPr>
              <w:t xml:space="preserve"> 14.64 </w:t>
            </w:r>
            <w:proofErr w:type="spellStart"/>
            <w:r>
              <w:rPr>
                <w:rStyle w:val="cell-value"/>
                <w:rFonts w:ascii="Arial Narrow" w:hAnsi="Arial Narrow"/>
                <w:sz w:val="16"/>
                <w:szCs w:val="16"/>
              </w:rPr>
              <w:t>higher</w:t>
            </w:r>
            <w:proofErr w:type="spellEnd"/>
            <w:r>
              <w:rPr>
                <w:rStyle w:val="cell-value"/>
                <w:rFonts w:ascii="Arial Narrow" w:hAnsi="Arial Narrow"/>
                <w:sz w:val="16"/>
                <w:szCs w:val="16"/>
              </w:rPr>
              <w:t>)</w:t>
            </w:r>
          </w:p>
        </w:tc>
        <w:tc>
          <w:tcPr>
            <w:tcW w:w="589" w:type="pct"/>
            <w:tcBorders>
              <w:top w:val="single" w:sz="6" w:space="0" w:color="000000"/>
              <w:left w:val="nil"/>
              <w:bottom w:val="single" w:sz="6" w:space="0" w:color="000000"/>
              <w:right w:val="nil"/>
            </w:tcBorders>
            <w:vAlign w:val="center"/>
          </w:tcPr>
          <w:p w14:paraId="1A4BA1DA" w14:textId="77777777" w:rsidR="009F5320" w:rsidRDefault="009F5320" w:rsidP="00350225">
            <w:pPr>
              <w:jc w:val="center"/>
              <w:rPr>
                <w:rStyle w:val="cell"/>
                <w:rFonts w:ascii="Arial Narrow" w:hAnsi="Arial Narrow"/>
                <w:sz w:val="16"/>
                <w:szCs w:val="16"/>
              </w:rPr>
            </w:pPr>
            <w:r>
              <w:rPr>
                <w:rStyle w:val="cell"/>
                <w:rFonts w:ascii="Arial Narrow" w:hAnsi="Arial Narrow"/>
                <w:sz w:val="16"/>
                <w:szCs w:val="16"/>
              </w:rPr>
              <w:t>-</w:t>
            </w:r>
          </w:p>
        </w:tc>
        <w:tc>
          <w:tcPr>
            <w:tcW w:w="589" w:type="pct"/>
            <w:tcBorders>
              <w:top w:val="single" w:sz="6" w:space="0" w:color="000000"/>
              <w:left w:val="nil"/>
              <w:bottom w:val="single" w:sz="6" w:space="0" w:color="000000"/>
              <w:right w:val="nil"/>
            </w:tcBorders>
            <w:vAlign w:val="center"/>
          </w:tcPr>
          <w:p w14:paraId="628CF0E0" w14:textId="77777777" w:rsidR="009F5320" w:rsidRDefault="009F5320" w:rsidP="00350225">
            <w:pPr>
              <w:jc w:val="center"/>
              <w:rPr>
                <w:rFonts w:ascii="Arial Narrow" w:hAnsi="Arial Narrow"/>
                <w:sz w:val="16"/>
                <w:szCs w:val="16"/>
              </w:rPr>
            </w:pPr>
            <w:r>
              <w:rPr>
                <w:rFonts w:ascii="Arial Narrow" w:hAnsi="Arial Narrow"/>
                <w:sz w:val="16"/>
                <w:szCs w:val="16"/>
              </w:rPr>
              <w:t>1299</w:t>
            </w:r>
            <w:r>
              <w:rPr>
                <w:rFonts w:ascii="Arial Narrow" w:hAnsi="Arial Narrow"/>
                <w:sz w:val="16"/>
                <w:szCs w:val="16"/>
              </w:rPr>
              <w:br/>
              <w:t xml:space="preserve">(13 </w:t>
            </w:r>
            <w:proofErr w:type="spellStart"/>
            <w:r>
              <w:rPr>
                <w:rFonts w:ascii="Arial Narrow" w:hAnsi="Arial Narrow"/>
                <w:sz w:val="16"/>
                <w:szCs w:val="16"/>
              </w:rPr>
              <w:t>RCTs</w:t>
            </w:r>
            <w:proofErr w:type="spellEnd"/>
            <w:r>
              <w:rPr>
                <w:rFonts w:ascii="Arial Narrow" w:hAnsi="Arial Narrow"/>
                <w:sz w:val="16"/>
                <w:szCs w:val="16"/>
              </w:rPr>
              <w:t>)</w:t>
            </w:r>
          </w:p>
        </w:tc>
        <w:tc>
          <w:tcPr>
            <w:tcW w:w="581" w:type="pct"/>
            <w:tcBorders>
              <w:top w:val="single" w:sz="6" w:space="0" w:color="000000"/>
              <w:left w:val="nil"/>
              <w:bottom w:val="single" w:sz="6" w:space="0" w:color="000000"/>
              <w:right w:val="nil"/>
            </w:tcBorders>
            <w:vAlign w:val="center"/>
          </w:tcPr>
          <w:p w14:paraId="5401A28E" w14:textId="77777777" w:rsidR="009F5320" w:rsidRDefault="009F5320" w:rsidP="00350225">
            <w:pPr>
              <w:jc w:val="center"/>
              <w:rPr>
                <w:rStyle w:val="quality-sign"/>
                <w:rFonts w:ascii="Cambria Math" w:hAnsi="Cambria Math" w:cs="Cambria Math"/>
                <w:sz w:val="21"/>
                <w:szCs w:val="21"/>
              </w:rPr>
            </w:pPr>
            <w:r>
              <w:rPr>
                <w:rStyle w:val="quality-sign"/>
                <w:rFonts w:ascii="Cambria Math" w:hAnsi="Cambria Math" w:cs="Cambria Math"/>
                <w:sz w:val="21"/>
                <w:szCs w:val="21"/>
              </w:rPr>
              <w:t>⨁⨁⨁◯</w:t>
            </w:r>
            <w:r>
              <w:rPr>
                <w:rFonts w:ascii="Arial Narrow" w:hAnsi="Arial Narrow"/>
                <w:sz w:val="16"/>
                <w:szCs w:val="16"/>
              </w:rPr>
              <w:br/>
            </w:r>
            <w:proofErr w:type="spellStart"/>
            <w:r>
              <w:rPr>
                <w:rStyle w:val="quality-text"/>
                <w:rFonts w:ascii="Arial Narrow" w:hAnsi="Arial Narrow"/>
                <w:sz w:val="16"/>
                <w:szCs w:val="16"/>
              </w:rPr>
              <w:t>Moderate</w:t>
            </w:r>
            <w:proofErr w:type="spellEnd"/>
          </w:p>
        </w:tc>
        <w:tc>
          <w:tcPr>
            <w:tcW w:w="1292" w:type="pct"/>
            <w:tcBorders>
              <w:top w:val="single" w:sz="6" w:space="0" w:color="000000"/>
              <w:left w:val="nil"/>
              <w:bottom w:val="single" w:sz="6" w:space="0" w:color="000000"/>
              <w:right w:val="nil"/>
            </w:tcBorders>
            <w:vAlign w:val="center"/>
          </w:tcPr>
          <w:p w14:paraId="5DC611FA" w14:textId="77777777" w:rsidR="009F5320" w:rsidRDefault="009F5320" w:rsidP="00350225">
            <w:pPr>
              <w:jc w:val="center"/>
              <w:rPr>
                <w:rFonts w:ascii="Arial Narrow" w:hAnsi="Arial Narrow"/>
                <w:sz w:val="16"/>
                <w:szCs w:val="16"/>
              </w:rPr>
            </w:pPr>
          </w:p>
        </w:tc>
      </w:tr>
      <w:tr w:rsidR="009F5320" w14:paraId="1154D772" w14:textId="77777777" w:rsidTr="009F5320">
        <w:trPr>
          <w:cantSplit/>
        </w:trPr>
        <w:tc>
          <w:tcPr>
            <w:tcW w:w="770" w:type="pct"/>
            <w:tcBorders>
              <w:top w:val="single" w:sz="6" w:space="0" w:color="000000"/>
              <w:left w:val="nil"/>
              <w:bottom w:val="single" w:sz="6" w:space="0" w:color="000000"/>
              <w:right w:val="nil"/>
            </w:tcBorders>
            <w:vAlign w:val="center"/>
          </w:tcPr>
          <w:p w14:paraId="0103EF8D" w14:textId="77777777" w:rsidR="009F5320" w:rsidRDefault="009F5320" w:rsidP="00350225">
            <w:pPr>
              <w:jc w:val="center"/>
              <w:rPr>
                <w:rStyle w:val="label"/>
                <w:rFonts w:ascii="Arial Narrow" w:hAnsi="Arial Narrow"/>
                <w:sz w:val="18"/>
                <w:szCs w:val="18"/>
              </w:rPr>
            </w:pPr>
            <w:proofErr w:type="spellStart"/>
            <w:r>
              <w:rPr>
                <w:rStyle w:val="label"/>
                <w:rFonts w:ascii="Arial Narrow" w:hAnsi="Arial Narrow"/>
                <w:sz w:val="18"/>
                <w:szCs w:val="18"/>
              </w:rPr>
              <w:lastRenderedPageBreak/>
              <w:t>Length</w:t>
            </w:r>
            <w:proofErr w:type="spellEnd"/>
            <w:r>
              <w:rPr>
                <w:rStyle w:val="label"/>
                <w:rFonts w:ascii="Arial Narrow" w:hAnsi="Arial Narrow"/>
                <w:sz w:val="18"/>
                <w:szCs w:val="18"/>
              </w:rPr>
              <w:t xml:space="preserve"> of </w:t>
            </w:r>
            <w:proofErr w:type="spellStart"/>
            <w:r>
              <w:rPr>
                <w:rStyle w:val="label"/>
                <w:rFonts w:ascii="Arial Narrow" w:hAnsi="Arial Narrow"/>
                <w:sz w:val="18"/>
                <w:szCs w:val="18"/>
              </w:rPr>
              <w:t>hospital</w:t>
            </w:r>
            <w:proofErr w:type="spellEnd"/>
            <w:r>
              <w:rPr>
                <w:rStyle w:val="label"/>
                <w:rFonts w:ascii="Arial Narrow" w:hAnsi="Arial Narrow"/>
                <w:sz w:val="18"/>
                <w:szCs w:val="18"/>
              </w:rPr>
              <w:t xml:space="preserve"> </w:t>
            </w:r>
            <w:proofErr w:type="spellStart"/>
            <w:r>
              <w:rPr>
                <w:rStyle w:val="label"/>
                <w:rFonts w:ascii="Arial Narrow" w:hAnsi="Arial Narrow"/>
                <w:sz w:val="18"/>
                <w:szCs w:val="18"/>
              </w:rPr>
              <w:t>stay</w:t>
            </w:r>
            <w:proofErr w:type="spellEnd"/>
          </w:p>
        </w:tc>
        <w:tc>
          <w:tcPr>
            <w:tcW w:w="589" w:type="pct"/>
            <w:tcBorders>
              <w:top w:val="single" w:sz="6" w:space="0" w:color="000000"/>
              <w:left w:val="nil"/>
              <w:bottom w:val="single" w:sz="6" w:space="0" w:color="000000"/>
              <w:right w:val="nil"/>
            </w:tcBorders>
            <w:shd w:val="clear" w:color="auto" w:fill="EBEBEB"/>
            <w:vAlign w:val="center"/>
          </w:tcPr>
          <w:p w14:paraId="0F0999C4" w14:textId="77777777" w:rsidR="009F5320" w:rsidRDefault="009F5320" w:rsidP="00350225">
            <w:pPr>
              <w:jc w:val="center"/>
              <w:rPr>
                <w:rStyle w:val="cell-value"/>
                <w:rFonts w:ascii="Arial Narrow" w:hAnsi="Arial Narrow"/>
                <w:sz w:val="16"/>
                <w:szCs w:val="16"/>
              </w:rPr>
            </w:pPr>
            <w:r>
              <w:rPr>
                <w:rStyle w:val="cell-value"/>
                <w:rFonts w:ascii="Arial Narrow" w:hAnsi="Arial Narrow"/>
                <w:sz w:val="16"/>
                <w:szCs w:val="16"/>
              </w:rPr>
              <w:t xml:space="preserve">The </w:t>
            </w:r>
            <w:proofErr w:type="spellStart"/>
            <w:r>
              <w:rPr>
                <w:rStyle w:val="cell-value"/>
                <w:rFonts w:ascii="Arial Narrow" w:hAnsi="Arial Narrow"/>
                <w:sz w:val="16"/>
                <w:szCs w:val="16"/>
              </w:rPr>
              <w:t>mean</w:t>
            </w:r>
            <w:proofErr w:type="spellEnd"/>
            <w:r>
              <w:rPr>
                <w:rStyle w:val="cell-value"/>
                <w:rFonts w:ascii="Arial Narrow" w:hAnsi="Arial Narrow"/>
                <w:sz w:val="16"/>
                <w:szCs w:val="16"/>
              </w:rPr>
              <w:t xml:space="preserve"> </w:t>
            </w:r>
            <w:proofErr w:type="spellStart"/>
            <w:r>
              <w:rPr>
                <w:rStyle w:val="cell-value"/>
                <w:rFonts w:ascii="Arial Narrow" w:hAnsi="Arial Narrow"/>
                <w:sz w:val="16"/>
                <w:szCs w:val="16"/>
              </w:rPr>
              <w:t>length</w:t>
            </w:r>
            <w:proofErr w:type="spellEnd"/>
            <w:r>
              <w:rPr>
                <w:rStyle w:val="cell-value"/>
                <w:rFonts w:ascii="Arial Narrow" w:hAnsi="Arial Narrow"/>
                <w:sz w:val="16"/>
                <w:szCs w:val="16"/>
              </w:rPr>
              <w:t xml:space="preserve"> of </w:t>
            </w:r>
            <w:proofErr w:type="spellStart"/>
            <w:r>
              <w:rPr>
                <w:rStyle w:val="cell-value"/>
                <w:rFonts w:ascii="Arial Narrow" w:hAnsi="Arial Narrow"/>
                <w:sz w:val="16"/>
                <w:szCs w:val="16"/>
              </w:rPr>
              <w:t>hospital</w:t>
            </w:r>
            <w:proofErr w:type="spellEnd"/>
            <w:r>
              <w:rPr>
                <w:rStyle w:val="cell-value"/>
                <w:rFonts w:ascii="Arial Narrow" w:hAnsi="Arial Narrow"/>
                <w:sz w:val="16"/>
                <w:szCs w:val="16"/>
              </w:rPr>
              <w:t xml:space="preserve"> </w:t>
            </w:r>
            <w:proofErr w:type="spellStart"/>
            <w:r>
              <w:rPr>
                <w:rStyle w:val="cell-value"/>
                <w:rFonts w:ascii="Arial Narrow" w:hAnsi="Arial Narrow"/>
                <w:sz w:val="16"/>
                <w:szCs w:val="16"/>
              </w:rPr>
              <w:t>stay</w:t>
            </w:r>
            <w:proofErr w:type="spellEnd"/>
            <w:r>
              <w:rPr>
                <w:rStyle w:val="cell-value"/>
                <w:rFonts w:ascii="Arial Narrow" w:hAnsi="Arial Narrow"/>
                <w:sz w:val="16"/>
                <w:szCs w:val="16"/>
              </w:rPr>
              <w:t xml:space="preserve"> </w:t>
            </w:r>
            <w:proofErr w:type="spellStart"/>
            <w:r>
              <w:rPr>
                <w:rStyle w:val="cell-value"/>
                <w:rFonts w:ascii="Arial Narrow" w:hAnsi="Arial Narrow"/>
                <w:sz w:val="16"/>
                <w:szCs w:val="16"/>
              </w:rPr>
              <w:t>was</w:t>
            </w:r>
            <w:proofErr w:type="spellEnd"/>
            <w:r>
              <w:rPr>
                <w:rStyle w:val="cell-value"/>
                <w:rFonts w:ascii="Arial Narrow" w:hAnsi="Arial Narrow"/>
                <w:sz w:val="16"/>
                <w:szCs w:val="16"/>
              </w:rPr>
              <w:t xml:space="preserve"> </w:t>
            </w:r>
            <w:r>
              <w:rPr>
                <w:rStyle w:val="cell-value"/>
                <w:rFonts w:ascii="Arial Narrow" w:hAnsi="Arial Narrow"/>
                <w:b/>
                <w:bCs/>
                <w:sz w:val="16"/>
                <w:szCs w:val="16"/>
              </w:rPr>
              <w:t>0</w:t>
            </w:r>
            <w:r>
              <w:rPr>
                <w:rStyle w:val="cell-value"/>
                <w:rFonts w:ascii="Arial Narrow" w:hAnsi="Arial Narrow"/>
                <w:sz w:val="16"/>
                <w:szCs w:val="16"/>
              </w:rPr>
              <w:t xml:space="preserve"> </w:t>
            </w:r>
            <w:proofErr w:type="spellStart"/>
            <w:r>
              <w:rPr>
                <w:rStyle w:val="cell-value"/>
                <w:rFonts w:ascii="Arial Narrow" w:hAnsi="Arial Narrow"/>
                <w:sz w:val="16"/>
                <w:szCs w:val="16"/>
              </w:rPr>
              <w:t>days</w:t>
            </w:r>
            <w:proofErr w:type="spellEnd"/>
          </w:p>
        </w:tc>
        <w:tc>
          <w:tcPr>
            <w:tcW w:w="589" w:type="pct"/>
            <w:tcBorders>
              <w:top w:val="single" w:sz="6" w:space="0" w:color="000000"/>
              <w:left w:val="nil"/>
              <w:bottom w:val="single" w:sz="6" w:space="0" w:color="000000"/>
              <w:right w:val="nil"/>
            </w:tcBorders>
            <w:shd w:val="clear" w:color="auto" w:fill="EBEBEB"/>
          </w:tcPr>
          <w:p w14:paraId="7E5CA7C0" w14:textId="77777777" w:rsidR="009F5320" w:rsidRDefault="009F5320" w:rsidP="00350225">
            <w:pPr>
              <w:jc w:val="center"/>
              <w:rPr>
                <w:rStyle w:val="cell-value"/>
                <w:rFonts w:ascii="Arial Narrow" w:hAnsi="Arial Narrow"/>
                <w:sz w:val="16"/>
                <w:szCs w:val="16"/>
              </w:rPr>
            </w:pPr>
            <w:r>
              <w:rPr>
                <w:rStyle w:val="cell-value"/>
                <w:rFonts w:ascii="Arial Narrow" w:hAnsi="Arial Narrow"/>
                <w:sz w:val="16"/>
                <w:szCs w:val="16"/>
              </w:rPr>
              <w:t xml:space="preserve">MD </w:t>
            </w:r>
            <w:r>
              <w:rPr>
                <w:rStyle w:val="cell-value"/>
                <w:rFonts w:ascii="Arial Narrow" w:hAnsi="Arial Narrow"/>
                <w:b/>
                <w:bCs/>
                <w:sz w:val="16"/>
                <w:szCs w:val="16"/>
              </w:rPr>
              <w:t xml:space="preserve">0.06 </w:t>
            </w:r>
            <w:proofErr w:type="spellStart"/>
            <w:r>
              <w:rPr>
                <w:rStyle w:val="cell-value"/>
                <w:rFonts w:ascii="Arial Narrow" w:hAnsi="Arial Narrow"/>
                <w:b/>
                <w:bCs/>
                <w:sz w:val="16"/>
                <w:szCs w:val="16"/>
              </w:rPr>
              <w:t>days</w:t>
            </w:r>
            <w:proofErr w:type="spellEnd"/>
            <w:r>
              <w:rPr>
                <w:rStyle w:val="cell-value"/>
                <w:rFonts w:ascii="Arial Narrow" w:hAnsi="Arial Narrow"/>
                <w:b/>
                <w:bCs/>
                <w:sz w:val="16"/>
                <w:szCs w:val="16"/>
              </w:rPr>
              <w:t xml:space="preserve"> </w:t>
            </w:r>
            <w:proofErr w:type="spellStart"/>
            <w:r>
              <w:rPr>
                <w:rStyle w:val="cell-value"/>
                <w:rFonts w:ascii="Arial Narrow" w:hAnsi="Arial Narrow"/>
                <w:b/>
                <w:bCs/>
                <w:sz w:val="16"/>
                <w:szCs w:val="16"/>
              </w:rPr>
              <w:t>higher</w:t>
            </w:r>
            <w:proofErr w:type="spellEnd"/>
            <w:r>
              <w:rPr>
                <w:rFonts w:ascii="Arial Narrow" w:hAnsi="Arial Narrow"/>
                <w:sz w:val="16"/>
                <w:szCs w:val="16"/>
              </w:rPr>
              <w:br/>
            </w:r>
            <w:r>
              <w:rPr>
                <w:rStyle w:val="cell-value"/>
                <w:rFonts w:ascii="Arial Narrow" w:hAnsi="Arial Narrow"/>
                <w:sz w:val="16"/>
                <w:szCs w:val="16"/>
              </w:rPr>
              <w:t xml:space="preserve">(0.71 </w:t>
            </w:r>
            <w:proofErr w:type="spellStart"/>
            <w:r>
              <w:rPr>
                <w:rStyle w:val="cell-value"/>
                <w:rFonts w:ascii="Arial Narrow" w:hAnsi="Arial Narrow"/>
                <w:sz w:val="16"/>
                <w:szCs w:val="16"/>
              </w:rPr>
              <w:t>lower</w:t>
            </w:r>
            <w:proofErr w:type="spellEnd"/>
            <w:r>
              <w:rPr>
                <w:rStyle w:val="cell-value"/>
                <w:rFonts w:ascii="Arial Narrow" w:hAnsi="Arial Narrow"/>
                <w:sz w:val="16"/>
                <w:szCs w:val="16"/>
              </w:rPr>
              <w:t xml:space="preserve"> </w:t>
            </w:r>
            <w:proofErr w:type="spellStart"/>
            <w:r>
              <w:rPr>
                <w:rStyle w:val="cell-value"/>
                <w:rFonts w:ascii="Arial Narrow" w:hAnsi="Arial Narrow"/>
                <w:sz w:val="16"/>
                <w:szCs w:val="16"/>
              </w:rPr>
              <w:t>to</w:t>
            </w:r>
            <w:proofErr w:type="spellEnd"/>
            <w:r>
              <w:rPr>
                <w:rStyle w:val="cell-value"/>
                <w:rFonts w:ascii="Arial Narrow" w:hAnsi="Arial Narrow"/>
                <w:sz w:val="16"/>
                <w:szCs w:val="16"/>
              </w:rPr>
              <w:t xml:space="preserve"> 0.59 </w:t>
            </w:r>
            <w:proofErr w:type="spellStart"/>
            <w:r>
              <w:rPr>
                <w:rStyle w:val="cell-value"/>
                <w:rFonts w:ascii="Arial Narrow" w:hAnsi="Arial Narrow"/>
                <w:sz w:val="16"/>
                <w:szCs w:val="16"/>
              </w:rPr>
              <w:t>higher</w:t>
            </w:r>
            <w:proofErr w:type="spellEnd"/>
            <w:r>
              <w:rPr>
                <w:rStyle w:val="cell-value"/>
                <w:rFonts w:ascii="Arial Narrow" w:hAnsi="Arial Narrow"/>
                <w:sz w:val="16"/>
                <w:szCs w:val="16"/>
              </w:rPr>
              <w:t>)</w:t>
            </w:r>
          </w:p>
        </w:tc>
        <w:tc>
          <w:tcPr>
            <w:tcW w:w="589" w:type="pct"/>
            <w:tcBorders>
              <w:top w:val="single" w:sz="6" w:space="0" w:color="000000"/>
              <w:left w:val="nil"/>
              <w:bottom w:val="single" w:sz="6" w:space="0" w:color="000000"/>
              <w:right w:val="nil"/>
            </w:tcBorders>
            <w:vAlign w:val="center"/>
          </w:tcPr>
          <w:p w14:paraId="439C7B41" w14:textId="77777777" w:rsidR="009F5320" w:rsidRDefault="009F5320" w:rsidP="00350225">
            <w:pPr>
              <w:jc w:val="center"/>
              <w:rPr>
                <w:rStyle w:val="cell"/>
                <w:rFonts w:ascii="Arial Narrow" w:hAnsi="Arial Narrow"/>
                <w:sz w:val="16"/>
                <w:szCs w:val="16"/>
              </w:rPr>
            </w:pPr>
            <w:r>
              <w:rPr>
                <w:rStyle w:val="cell"/>
                <w:rFonts w:ascii="Arial Narrow" w:hAnsi="Arial Narrow"/>
                <w:sz w:val="16"/>
                <w:szCs w:val="16"/>
              </w:rPr>
              <w:t>-</w:t>
            </w:r>
          </w:p>
        </w:tc>
        <w:tc>
          <w:tcPr>
            <w:tcW w:w="589" w:type="pct"/>
            <w:tcBorders>
              <w:top w:val="single" w:sz="6" w:space="0" w:color="000000"/>
              <w:left w:val="nil"/>
              <w:bottom w:val="single" w:sz="6" w:space="0" w:color="000000"/>
              <w:right w:val="nil"/>
            </w:tcBorders>
            <w:vAlign w:val="center"/>
          </w:tcPr>
          <w:p w14:paraId="653150A4" w14:textId="77777777" w:rsidR="009F5320" w:rsidRDefault="009F5320" w:rsidP="00350225">
            <w:pPr>
              <w:jc w:val="center"/>
              <w:rPr>
                <w:rFonts w:ascii="Arial Narrow" w:hAnsi="Arial Narrow"/>
                <w:sz w:val="16"/>
                <w:szCs w:val="16"/>
              </w:rPr>
            </w:pPr>
            <w:r>
              <w:rPr>
                <w:rFonts w:ascii="Arial Narrow" w:hAnsi="Arial Narrow"/>
                <w:sz w:val="16"/>
                <w:szCs w:val="16"/>
              </w:rPr>
              <w:t>1699</w:t>
            </w:r>
            <w:r>
              <w:rPr>
                <w:rFonts w:ascii="Arial Narrow" w:hAnsi="Arial Narrow"/>
                <w:sz w:val="16"/>
                <w:szCs w:val="16"/>
              </w:rPr>
              <w:br/>
              <w:t xml:space="preserve">(14 </w:t>
            </w:r>
            <w:proofErr w:type="spellStart"/>
            <w:r>
              <w:rPr>
                <w:rFonts w:ascii="Arial Narrow" w:hAnsi="Arial Narrow"/>
                <w:sz w:val="16"/>
                <w:szCs w:val="16"/>
              </w:rPr>
              <w:t>RCTs</w:t>
            </w:r>
            <w:proofErr w:type="spellEnd"/>
            <w:r>
              <w:rPr>
                <w:rFonts w:ascii="Arial Narrow" w:hAnsi="Arial Narrow"/>
                <w:sz w:val="16"/>
                <w:szCs w:val="16"/>
              </w:rPr>
              <w:t>)</w:t>
            </w:r>
          </w:p>
        </w:tc>
        <w:tc>
          <w:tcPr>
            <w:tcW w:w="581" w:type="pct"/>
            <w:tcBorders>
              <w:top w:val="single" w:sz="6" w:space="0" w:color="000000"/>
              <w:left w:val="nil"/>
              <w:bottom w:val="single" w:sz="6" w:space="0" w:color="000000"/>
              <w:right w:val="nil"/>
            </w:tcBorders>
            <w:vAlign w:val="center"/>
          </w:tcPr>
          <w:p w14:paraId="2FEF903A" w14:textId="77777777" w:rsidR="009F5320" w:rsidRDefault="009F5320" w:rsidP="00350225">
            <w:pPr>
              <w:jc w:val="center"/>
              <w:rPr>
                <w:rStyle w:val="quality-sign"/>
                <w:rFonts w:ascii="Cambria Math" w:hAnsi="Cambria Math" w:cs="Cambria Math"/>
                <w:sz w:val="21"/>
                <w:szCs w:val="21"/>
              </w:rPr>
            </w:pPr>
            <w:r>
              <w:rPr>
                <w:rStyle w:val="quality-sign"/>
                <w:rFonts w:ascii="Cambria Math" w:hAnsi="Cambria Math" w:cs="Cambria Math"/>
                <w:sz w:val="21"/>
                <w:szCs w:val="21"/>
              </w:rPr>
              <w:t>⨁⨁◯◯</w:t>
            </w:r>
            <w:r>
              <w:rPr>
                <w:rFonts w:ascii="Arial Narrow" w:hAnsi="Arial Narrow"/>
                <w:sz w:val="16"/>
                <w:szCs w:val="16"/>
              </w:rPr>
              <w:br/>
            </w:r>
            <w:proofErr w:type="spellStart"/>
            <w:r>
              <w:rPr>
                <w:rStyle w:val="quality-text"/>
                <w:rFonts w:ascii="Arial Narrow" w:hAnsi="Arial Narrow"/>
                <w:sz w:val="16"/>
                <w:szCs w:val="16"/>
              </w:rPr>
              <w:t>Low</w:t>
            </w:r>
            <w:r>
              <w:rPr>
                <w:rFonts w:ascii="Arial Narrow" w:hAnsi="Arial Narrow"/>
                <w:sz w:val="16"/>
                <w:szCs w:val="16"/>
                <w:vertAlign w:val="superscript"/>
              </w:rPr>
              <w:t>a</w:t>
            </w:r>
            <w:proofErr w:type="spellEnd"/>
          </w:p>
        </w:tc>
        <w:tc>
          <w:tcPr>
            <w:tcW w:w="1292" w:type="pct"/>
            <w:tcBorders>
              <w:top w:val="single" w:sz="6" w:space="0" w:color="000000"/>
              <w:left w:val="nil"/>
              <w:bottom w:val="single" w:sz="6" w:space="0" w:color="000000"/>
              <w:right w:val="nil"/>
            </w:tcBorders>
            <w:vAlign w:val="center"/>
          </w:tcPr>
          <w:p w14:paraId="147CC316" w14:textId="77777777" w:rsidR="009F5320" w:rsidRDefault="009F5320" w:rsidP="00350225">
            <w:pPr>
              <w:jc w:val="center"/>
              <w:rPr>
                <w:rFonts w:ascii="Arial Narrow" w:hAnsi="Arial Narrow"/>
                <w:sz w:val="16"/>
                <w:szCs w:val="16"/>
              </w:rPr>
            </w:pPr>
          </w:p>
        </w:tc>
      </w:tr>
      <w:tr w:rsidR="009F5320" w14:paraId="4E971714" w14:textId="77777777" w:rsidTr="009F5320">
        <w:trPr>
          <w:cantSplit/>
        </w:trPr>
        <w:tc>
          <w:tcPr>
            <w:tcW w:w="770" w:type="pct"/>
            <w:tcBorders>
              <w:top w:val="single" w:sz="6" w:space="0" w:color="000000"/>
              <w:left w:val="nil"/>
              <w:bottom w:val="single" w:sz="6" w:space="0" w:color="000000"/>
              <w:right w:val="nil"/>
            </w:tcBorders>
            <w:vAlign w:val="center"/>
          </w:tcPr>
          <w:p w14:paraId="7ED9E995" w14:textId="77777777" w:rsidR="009F5320" w:rsidRDefault="009F5320" w:rsidP="00350225">
            <w:pPr>
              <w:jc w:val="center"/>
              <w:rPr>
                <w:rStyle w:val="label"/>
                <w:rFonts w:ascii="Arial Narrow" w:hAnsi="Arial Narrow"/>
                <w:sz w:val="18"/>
                <w:szCs w:val="18"/>
              </w:rPr>
            </w:pPr>
            <w:proofErr w:type="spellStart"/>
            <w:r>
              <w:rPr>
                <w:rStyle w:val="label"/>
                <w:rFonts w:ascii="Arial Narrow" w:hAnsi="Arial Narrow"/>
                <w:sz w:val="18"/>
                <w:szCs w:val="18"/>
              </w:rPr>
              <w:t>Length</w:t>
            </w:r>
            <w:proofErr w:type="spellEnd"/>
            <w:r>
              <w:rPr>
                <w:rStyle w:val="label"/>
                <w:rFonts w:ascii="Arial Narrow" w:hAnsi="Arial Narrow"/>
                <w:sz w:val="18"/>
                <w:szCs w:val="18"/>
              </w:rPr>
              <w:t xml:space="preserve"> of ICU </w:t>
            </w:r>
            <w:proofErr w:type="spellStart"/>
            <w:r>
              <w:rPr>
                <w:rStyle w:val="label"/>
                <w:rFonts w:ascii="Arial Narrow" w:hAnsi="Arial Narrow"/>
                <w:sz w:val="18"/>
                <w:szCs w:val="18"/>
              </w:rPr>
              <w:t>stay</w:t>
            </w:r>
            <w:proofErr w:type="spellEnd"/>
          </w:p>
        </w:tc>
        <w:tc>
          <w:tcPr>
            <w:tcW w:w="589" w:type="pct"/>
            <w:tcBorders>
              <w:top w:val="single" w:sz="6" w:space="0" w:color="000000"/>
              <w:left w:val="nil"/>
              <w:bottom w:val="single" w:sz="6" w:space="0" w:color="000000"/>
              <w:right w:val="nil"/>
            </w:tcBorders>
            <w:shd w:val="clear" w:color="auto" w:fill="EBEBEB"/>
            <w:vAlign w:val="center"/>
          </w:tcPr>
          <w:p w14:paraId="08E2E9AD" w14:textId="77777777" w:rsidR="009F5320" w:rsidRDefault="009F5320" w:rsidP="00350225">
            <w:pPr>
              <w:jc w:val="center"/>
              <w:rPr>
                <w:rStyle w:val="cell-value"/>
                <w:rFonts w:ascii="Arial Narrow" w:hAnsi="Arial Narrow"/>
                <w:sz w:val="16"/>
                <w:szCs w:val="16"/>
              </w:rPr>
            </w:pPr>
            <w:r>
              <w:rPr>
                <w:rStyle w:val="cell-value"/>
                <w:rFonts w:ascii="Arial Narrow" w:hAnsi="Arial Narrow"/>
                <w:sz w:val="16"/>
                <w:szCs w:val="16"/>
              </w:rPr>
              <w:t xml:space="preserve">The </w:t>
            </w:r>
            <w:proofErr w:type="spellStart"/>
            <w:r>
              <w:rPr>
                <w:rStyle w:val="cell-value"/>
                <w:rFonts w:ascii="Arial Narrow" w:hAnsi="Arial Narrow"/>
                <w:sz w:val="16"/>
                <w:szCs w:val="16"/>
              </w:rPr>
              <w:t>mean</w:t>
            </w:r>
            <w:proofErr w:type="spellEnd"/>
            <w:r>
              <w:rPr>
                <w:rStyle w:val="cell-value"/>
                <w:rFonts w:ascii="Arial Narrow" w:hAnsi="Arial Narrow"/>
                <w:sz w:val="16"/>
                <w:szCs w:val="16"/>
              </w:rPr>
              <w:t xml:space="preserve"> </w:t>
            </w:r>
            <w:proofErr w:type="spellStart"/>
            <w:r>
              <w:rPr>
                <w:rStyle w:val="cell-value"/>
                <w:rFonts w:ascii="Arial Narrow" w:hAnsi="Arial Narrow"/>
                <w:sz w:val="16"/>
                <w:szCs w:val="16"/>
              </w:rPr>
              <w:t>length</w:t>
            </w:r>
            <w:proofErr w:type="spellEnd"/>
            <w:r>
              <w:rPr>
                <w:rStyle w:val="cell-value"/>
                <w:rFonts w:ascii="Arial Narrow" w:hAnsi="Arial Narrow"/>
                <w:sz w:val="16"/>
                <w:szCs w:val="16"/>
              </w:rPr>
              <w:t xml:space="preserve"> of ICU </w:t>
            </w:r>
            <w:proofErr w:type="spellStart"/>
            <w:r>
              <w:rPr>
                <w:rStyle w:val="cell-value"/>
                <w:rFonts w:ascii="Arial Narrow" w:hAnsi="Arial Narrow"/>
                <w:sz w:val="16"/>
                <w:szCs w:val="16"/>
              </w:rPr>
              <w:t>stay</w:t>
            </w:r>
            <w:proofErr w:type="spellEnd"/>
            <w:r>
              <w:rPr>
                <w:rStyle w:val="cell-value"/>
                <w:rFonts w:ascii="Arial Narrow" w:hAnsi="Arial Narrow"/>
                <w:sz w:val="16"/>
                <w:szCs w:val="16"/>
              </w:rPr>
              <w:t xml:space="preserve"> </w:t>
            </w:r>
            <w:proofErr w:type="spellStart"/>
            <w:r>
              <w:rPr>
                <w:rStyle w:val="cell-value"/>
                <w:rFonts w:ascii="Arial Narrow" w:hAnsi="Arial Narrow"/>
                <w:sz w:val="16"/>
                <w:szCs w:val="16"/>
              </w:rPr>
              <w:t>was</w:t>
            </w:r>
            <w:proofErr w:type="spellEnd"/>
            <w:r>
              <w:rPr>
                <w:rStyle w:val="cell-value"/>
                <w:rFonts w:ascii="Arial Narrow" w:hAnsi="Arial Narrow"/>
                <w:sz w:val="16"/>
                <w:szCs w:val="16"/>
              </w:rPr>
              <w:t xml:space="preserve"> </w:t>
            </w:r>
            <w:r>
              <w:rPr>
                <w:rStyle w:val="cell-value"/>
                <w:rFonts w:ascii="Arial Narrow" w:hAnsi="Arial Narrow"/>
                <w:b/>
                <w:bCs/>
                <w:sz w:val="16"/>
                <w:szCs w:val="16"/>
              </w:rPr>
              <w:t>0</w:t>
            </w:r>
            <w:r>
              <w:rPr>
                <w:rStyle w:val="cell-value"/>
                <w:rFonts w:ascii="Arial Narrow" w:hAnsi="Arial Narrow"/>
                <w:sz w:val="16"/>
                <w:szCs w:val="16"/>
              </w:rPr>
              <w:t xml:space="preserve"> </w:t>
            </w:r>
            <w:proofErr w:type="spellStart"/>
            <w:r>
              <w:rPr>
                <w:rStyle w:val="cell-value"/>
                <w:rFonts w:ascii="Arial Narrow" w:hAnsi="Arial Narrow"/>
                <w:sz w:val="16"/>
                <w:szCs w:val="16"/>
              </w:rPr>
              <w:t>days</w:t>
            </w:r>
            <w:proofErr w:type="spellEnd"/>
          </w:p>
        </w:tc>
        <w:tc>
          <w:tcPr>
            <w:tcW w:w="589" w:type="pct"/>
            <w:tcBorders>
              <w:top w:val="single" w:sz="6" w:space="0" w:color="000000"/>
              <w:left w:val="nil"/>
              <w:bottom w:val="single" w:sz="6" w:space="0" w:color="000000"/>
              <w:right w:val="nil"/>
            </w:tcBorders>
            <w:shd w:val="clear" w:color="auto" w:fill="EBEBEB"/>
          </w:tcPr>
          <w:p w14:paraId="042B3EBC" w14:textId="77777777" w:rsidR="009F5320" w:rsidRDefault="009F5320" w:rsidP="00350225">
            <w:pPr>
              <w:jc w:val="center"/>
              <w:rPr>
                <w:rStyle w:val="cell-value"/>
                <w:rFonts w:ascii="Arial Narrow" w:hAnsi="Arial Narrow"/>
                <w:sz w:val="16"/>
                <w:szCs w:val="16"/>
              </w:rPr>
            </w:pPr>
            <w:r>
              <w:rPr>
                <w:rStyle w:val="cell-value"/>
                <w:rFonts w:ascii="Arial Narrow" w:hAnsi="Arial Narrow"/>
                <w:sz w:val="16"/>
                <w:szCs w:val="16"/>
              </w:rPr>
              <w:t xml:space="preserve">MD </w:t>
            </w:r>
            <w:r>
              <w:rPr>
                <w:rStyle w:val="cell-value"/>
                <w:rFonts w:ascii="Arial Narrow" w:hAnsi="Arial Narrow"/>
                <w:b/>
                <w:bCs/>
                <w:sz w:val="16"/>
                <w:szCs w:val="16"/>
              </w:rPr>
              <w:t xml:space="preserve">0.1 </w:t>
            </w:r>
            <w:proofErr w:type="spellStart"/>
            <w:r>
              <w:rPr>
                <w:rStyle w:val="cell-value"/>
                <w:rFonts w:ascii="Arial Narrow" w:hAnsi="Arial Narrow"/>
                <w:b/>
                <w:bCs/>
                <w:sz w:val="16"/>
                <w:szCs w:val="16"/>
              </w:rPr>
              <w:t>days</w:t>
            </w:r>
            <w:proofErr w:type="spellEnd"/>
            <w:r>
              <w:rPr>
                <w:rStyle w:val="cell-value"/>
                <w:rFonts w:ascii="Arial Narrow" w:hAnsi="Arial Narrow"/>
                <w:b/>
                <w:bCs/>
                <w:sz w:val="16"/>
                <w:szCs w:val="16"/>
              </w:rPr>
              <w:t xml:space="preserve"> </w:t>
            </w:r>
            <w:proofErr w:type="spellStart"/>
            <w:r>
              <w:rPr>
                <w:rStyle w:val="cell-value"/>
                <w:rFonts w:ascii="Arial Narrow" w:hAnsi="Arial Narrow"/>
                <w:b/>
                <w:bCs/>
                <w:sz w:val="16"/>
                <w:szCs w:val="16"/>
              </w:rPr>
              <w:t>lower</w:t>
            </w:r>
            <w:proofErr w:type="spellEnd"/>
            <w:r>
              <w:rPr>
                <w:rFonts w:ascii="Arial Narrow" w:hAnsi="Arial Narrow"/>
                <w:sz w:val="16"/>
                <w:szCs w:val="16"/>
              </w:rPr>
              <w:br/>
            </w:r>
            <w:r>
              <w:rPr>
                <w:rStyle w:val="cell-value"/>
                <w:rFonts w:ascii="Arial Narrow" w:hAnsi="Arial Narrow"/>
                <w:sz w:val="16"/>
                <w:szCs w:val="16"/>
              </w:rPr>
              <w:t xml:space="preserve">(2.7 </w:t>
            </w:r>
            <w:proofErr w:type="spellStart"/>
            <w:r>
              <w:rPr>
                <w:rStyle w:val="cell-value"/>
                <w:rFonts w:ascii="Arial Narrow" w:hAnsi="Arial Narrow"/>
                <w:sz w:val="16"/>
                <w:szCs w:val="16"/>
              </w:rPr>
              <w:t>lower</w:t>
            </w:r>
            <w:proofErr w:type="spellEnd"/>
            <w:r>
              <w:rPr>
                <w:rStyle w:val="cell-value"/>
                <w:rFonts w:ascii="Arial Narrow" w:hAnsi="Arial Narrow"/>
                <w:sz w:val="16"/>
                <w:szCs w:val="16"/>
              </w:rPr>
              <w:t xml:space="preserve"> </w:t>
            </w:r>
            <w:proofErr w:type="spellStart"/>
            <w:r>
              <w:rPr>
                <w:rStyle w:val="cell-value"/>
                <w:rFonts w:ascii="Arial Narrow" w:hAnsi="Arial Narrow"/>
                <w:sz w:val="16"/>
                <w:szCs w:val="16"/>
              </w:rPr>
              <w:t>to</w:t>
            </w:r>
            <w:proofErr w:type="spellEnd"/>
            <w:r>
              <w:rPr>
                <w:rStyle w:val="cell-value"/>
                <w:rFonts w:ascii="Arial Narrow" w:hAnsi="Arial Narrow"/>
                <w:sz w:val="16"/>
                <w:szCs w:val="16"/>
              </w:rPr>
              <w:t xml:space="preserve"> 2.51 </w:t>
            </w:r>
            <w:proofErr w:type="spellStart"/>
            <w:r>
              <w:rPr>
                <w:rStyle w:val="cell-value"/>
                <w:rFonts w:ascii="Arial Narrow" w:hAnsi="Arial Narrow"/>
                <w:sz w:val="16"/>
                <w:szCs w:val="16"/>
              </w:rPr>
              <w:t>higher</w:t>
            </w:r>
            <w:proofErr w:type="spellEnd"/>
            <w:r>
              <w:rPr>
                <w:rStyle w:val="cell-value"/>
                <w:rFonts w:ascii="Arial Narrow" w:hAnsi="Arial Narrow"/>
                <w:sz w:val="16"/>
                <w:szCs w:val="16"/>
              </w:rPr>
              <w:t>)</w:t>
            </w:r>
          </w:p>
        </w:tc>
        <w:tc>
          <w:tcPr>
            <w:tcW w:w="589" w:type="pct"/>
            <w:tcBorders>
              <w:top w:val="single" w:sz="6" w:space="0" w:color="000000"/>
              <w:left w:val="nil"/>
              <w:bottom w:val="single" w:sz="6" w:space="0" w:color="000000"/>
              <w:right w:val="nil"/>
            </w:tcBorders>
            <w:vAlign w:val="center"/>
          </w:tcPr>
          <w:p w14:paraId="0A125E35" w14:textId="77777777" w:rsidR="009F5320" w:rsidRDefault="009F5320" w:rsidP="00350225">
            <w:pPr>
              <w:jc w:val="center"/>
              <w:rPr>
                <w:rStyle w:val="cell"/>
                <w:rFonts w:ascii="Arial Narrow" w:hAnsi="Arial Narrow"/>
                <w:sz w:val="16"/>
                <w:szCs w:val="16"/>
              </w:rPr>
            </w:pPr>
            <w:r>
              <w:rPr>
                <w:rStyle w:val="cell"/>
                <w:rFonts w:ascii="Arial Narrow" w:hAnsi="Arial Narrow"/>
                <w:sz w:val="16"/>
                <w:szCs w:val="16"/>
              </w:rPr>
              <w:t>-</w:t>
            </w:r>
          </w:p>
        </w:tc>
        <w:tc>
          <w:tcPr>
            <w:tcW w:w="589" w:type="pct"/>
            <w:tcBorders>
              <w:top w:val="single" w:sz="6" w:space="0" w:color="000000"/>
              <w:left w:val="nil"/>
              <w:bottom w:val="single" w:sz="6" w:space="0" w:color="000000"/>
              <w:right w:val="nil"/>
            </w:tcBorders>
            <w:vAlign w:val="center"/>
          </w:tcPr>
          <w:p w14:paraId="7DB4DBA9" w14:textId="77777777" w:rsidR="009F5320" w:rsidRDefault="009F5320" w:rsidP="00350225">
            <w:pPr>
              <w:jc w:val="center"/>
              <w:rPr>
                <w:rFonts w:ascii="Arial Narrow" w:hAnsi="Arial Narrow"/>
                <w:sz w:val="16"/>
                <w:szCs w:val="16"/>
              </w:rPr>
            </w:pPr>
            <w:r>
              <w:rPr>
                <w:rFonts w:ascii="Arial Narrow" w:hAnsi="Arial Narrow"/>
                <w:sz w:val="16"/>
                <w:szCs w:val="16"/>
              </w:rPr>
              <w:t>626</w:t>
            </w:r>
            <w:r>
              <w:rPr>
                <w:rFonts w:ascii="Arial Narrow" w:hAnsi="Arial Narrow"/>
                <w:sz w:val="16"/>
                <w:szCs w:val="16"/>
              </w:rPr>
              <w:br/>
              <w:t xml:space="preserve">(4 </w:t>
            </w:r>
            <w:proofErr w:type="spellStart"/>
            <w:r>
              <w:rPr>
                <w:rFonts w:ascii="Arial Narrow" w:hAnsi="Arial Narrow"/>
                <w:sz w:val="16"/>
                <w:szCs w:val="16"/>
              </w:rPr>
              <w:t>RCTs</w:t>
            </w:r>
            <w:proofErr w:type="spellEnd"/>
            <w:r>
              <w:rPr>
                <w:rFonts w:ascii="Arial Narrow" w:hAnsi="Arial Narrow"/>
                <w:sz w:val="16"/>
                <w:szCs w:val="16"/>
              </w:rPr>
              <w:t>)</w:t>
            </w:r>
          </w:p>
        </w:tc>
        <w:tc>
          <w:tcPr>
            <w:tcW w:w="581" w:type="pct"/>
            <w:tcBorders>
              <w:top w:val="single" w:sz="6" w:space="0" w:color="000000"/>
              <w:left w:val="nil"/>
              <w:bottom w:val="single" w:sz="6" w:space="0" w:color="000000"/>
              <w:right w:val="nil"/>
            </w:tcBorders>
            <w:vAlign w:val="center"/>
          </w:tcPr>
          <w:p w14:paraId="1E5BDC61" w14:textId="77777777" w:rsidR="009F5320" w:rsidRDefault="009F5320" w:rsidP="00350225">
            <w:pPr>
              <w:jc w:val="center"/>
              <w:rPr>
                <w:rStyle w:val="quality-sign"/>
                <w:rFonts w:ascii="Cambria Math" w:hAnsi="Cambria Math" w:cs="Cambria Math"/>
                <w:sz w:val="21"/>
                <w:szCs w:val="21"/>
              </w:rPr>
            </w:pPr>
            <w:r>
              <w:rPr>
                <w:rStyle w:val="quality-sign"/>
                <w:rFonts w:ascii="Cambria Math" w:hAnsi="Cambria Math" w:cs="Cambria Math"/>
                <w:sz w:val="21"/>
                <w:szCs w:val="21"/>
              </w:rPr>
              <w:t>⨁⨁◯◯</w:t>
            </w:r>
            <w:r>
              <w:rPr>
                <w:rFonts w:ascii="Arial Narrow" w:hAnsi="Arial Narrow"/>
                <w:sz w:val="16"/>
                <w:szCs w:val="16"/>
              </w:rPr>
              <w:br/>
            </w:r>
            <w:proofErr w:type="spellStart"/>
            <w:r>
              <w:rPr>
                <w:rStyle w:val="quality-text"/>
                <w:rFonts w:ascii="Arial Narrow" w:hAnsi="Arial Narrow"/>
                <w:sz w:val="16"/>
                <w:szCs w:val="16"/>
              </w:rPr>
              <w:t>Low</w:t>
            </w:r>
            <w:r>
              <w:rPr>
                <w:rFonts w:ascii="Arial Narrow" w:hAnsi="Arial Narrow"/>
                <w:sz w:val="16"/>
                <w:szCs w:val="16"/>
                <w:vertAlign w:val="superscript"/>
              </w:rPr>
              <w:t>a</w:t>
            </w:r>
            <w:proofErr w:type="spellEnd"/>
          </w:p>
        </w:tc>
        <w:tc>
          <w:tcPr>
            <w:tcW w:w="1292" w:type="pct"/>
            <w:tcBorders>
              <w:top w:val="single" w:sz="6" w:space="0" w:color="000000"/>
              <w:left w:val="nil"/>
              <w:bottom w:val="single" w:sz="6" w:space="0" w:color="000000"/>
              <w:right w:val="nil"/>
            </w:tcBorders>
            <w:vAlign w:val="center"/>
          </w:tcPr>
          <w:p w14:paraId="452243FD" w14:textId="77777777" w:rsidR="009F5320" w:rsidRDefault="009F5320" w:rsidP="00350225">
            <w:pPr>
              <w:jc w:val="center"/>
              <w:rPr>
                <w:rFonts w:ascii="Arial Narrow" w:hAnsi="Arial Narrow"/>
                <w:sz w:val="16"/>
                <w:szCs w:val="16"/>
              </w:rPr>
            </w:pPr>
          </w:p>
        </w:tc>
      </w:tr>
      <w:tr w:rsidR="009F5320" w14:paraId="3C9C9B28" w14:textId="77777777" w:rsidTr="009F5320">
        <w:trPr>
          <w:cantSplit/>
        </w:trPr>
        <w:tc>
          <w:tcPr>
            <w:tcW w:w="770" w:type="pct"/>
            <w:tcBorders>
              <w:top w:val="single" w:sz="6" w:space="0" w:color="000000"/>
              <w:left w:val="nil"/>
              <w:bottom w:val="single" w:sz="6" w:space="0" w:color="000000"/>
              <w:right w:val="nil"/>
            </w:tcBorders>
            <w:vAlign w:val="center"/>
          </w:tcPr>
          <w:p w14:paraId="155D2FC3" w14:textId="77777777" w:rsidR="009F5320" w:rsidRDefault="009F5320" w:rsidP="00350225">
            <w:pPr>
              <w:jc w:val="center"/>
              <w:rPr>
                <w:rStyle w:val="label"/>
                <w:rFonts w:ascii="Arial Narrow" w:hAnsi="Arial Narrow"/>
                <w:sz w:val="18"/>
                <w:szCs w:val="18"/>
              </w:rPr>
            </w:pPr>
            <w:r>
              <w:rPr>
                <w:rStyle w:val="label"/>
                <w:rFonts w:ascii="Arial Narrow" w:hAnsi="Arial Narrow"/>
                <w:sz w:val="18"/>
                <w:szCs w:val="18"/>
              </w:rPr>
              <w:t xml:space="preserve">28-day </w:t>
            </w:r>
            <w:proofErr w:type="spellStart"/>
            <w:r>
              <w:rPr>
                <w:rStyle w:val="label"/>
                <w:rFonts w:ascii="Arial Narrow" w:hAnsi="Arial Narrow"/>
                <w:sz w:val="18"/>
                <w:szCs w:val="18"/>
              </w:rPr>
              <w:t>mortality</w:t>
            </w:r>
            <w:proofErr w:type="spellEnd"/>
          </w:p>
        </w:tc>
        <w:tc>
          <w:tcPr>
            <w:tcW w:w="589" w:type="pct"/>
            <w:tcBorders>
              <w:top w:val="single" w:sz="6" w:space="0" w:color="000000"/>
              <w:left w:val="nil"/>
              <w:bottom w:val="single" w:sz="6" w:space="0" w:color="000000"/>
              <w:right w:val="nil"/>
            </w:tcBorders>
            <w:shd w:val="clear" w:color="auto" w:fill="EBEBEB"/>
            <w:vAlign w:val="center"/>
          </w:tcPr>
          <w:p w14:paraId="32FE08FC" w14:textId="77777777" w:rsidR="009F5320" w:rsidRDefault="009F5320" w:rsidP="00350225">
            <w:pPr>
              <w:jc w:val="center"/>
              <w:rPr>
                <w:rStyle w:val="cell-value"/>
                <w:rFonts w:ascii="Arial Narrow" w:hAnsi="Arial Narrow"/>
                <w:sz w:val="16"/>
                <w:szCs w:val="16"/>
              </w:rPr>
            </w:pPr>
            <w:r>
              <w:rPr>
                <w:rFonts w:ascii="Arial Narrow" w:hAnsi="Arial Narrow"/>
                <w:sz w:val="16"/>
                <w:szCs w:val="16"/>
              </w:rPr>
              <w:t>7 per 1000</w:t>
            </w:r>
          </w:p>
        </w:tc>
        <w:tc>
          <w:tcPr>
            <w:tcW w:w="589" w:type="pct"/>
            <w:tcBorders>
              <w:top w:val="single" w:sz="6" w:space="0" w:color="000000"/>
              <w:left w:val="nil"/>
              <w:bottom w:val="single" w:sz="6" w:space="0" w:color="000000"/>
              <w:right w:val="nil"/>
            </w:tcBorders>
            <w:shd w:val="clear" w:color="auto" w:fill="EBEBEB"/>
          </w:tcPr>
          <w:p w14:paraId="56AB676A" w14:textId="77777777" w:rsidR="009F5320" w:rsidRDefault="009F5320" w:rsidP="00350225">
            <w:pPr>
              <w:jc w:val="center"/>
              <w:rPr>
                <w:rStyle w:val="cell-value"/>
                <w:rFonts w:ascii="Arial Narrow" w:hAnsi="Arial Narrow"/>
                <w:sz w:val="16"/>
                <w:szCs w:val="16"/>
              </w:rPr>
            </w:pPr>
            <w:r>
              <w:rPr>
                <w:rStyle w:val="cell-value"/>
                <w:rFonts w:ascii="Arial Narrow" w:hAnsi="Arial Narrow"/>
                <w:b/>
                <w:bCs/>
                <w:sz w:val="18"/>
                <w:szCs w:val="18"/>
              </w:rPr>
              <w:t>7 per 1000</w:t>
            </w:r>
            <w:r>
              <w:rPr>
                <w:rFonts w:ascii="Arial Narrow" w:hAnsi="Arial Narrow"/>
                <w:sz w:val="18"/>
                <w:szCs w:val="18"/>
              </w:rPr>
              <w:br/>
            </w:r>
            <w:r>
              <w:rPr>
                <w:rStyle w:val="cell-value"/>
                <w:rFonts w:ascii="Arial Narrow" w:hAnsi="Arial Narrow"/>
                <w:sz w:val="18"/>
                <w:szCs w:val="18"/>
              </w:rPr>
              <w:t xml:space="preserve">(3 </w:t>
            </w:r>
            <w:proofErr w:type="spellStart"/>
            <w:r>
              <w:rPr>
                <w:rStyle w:val="cell-value"/>
                <w:rFonts w:ascii="Arial Narrow" w:hAnsi="Arial Narrow"/>
                <w:sz w:val="18"/>
                <w:szCs w:val="18"/>
              </w:rPr>
              <w:t>to</w:t>
            </w:r>
            <w:proofErr w:type="spellEnd"/>
            <w:r>
              <w:rPr>
                <w:rStyle w:val="cell-value"/>
                <w:rFonts w:ascii="Arial Narrow" w:hAnsi="Arial Narrow"/>
                <w:sz w:val="18"/>
                <w:szCs w:val="18"/>
              </w:rPr>
              <w:t xml:space="preserve"> 17)</w:t>
            </w:r>
          </w:p>
        </w:tc>
        <w:tc>
          <w:tcPr>
            <w:tcW w:w="589" w:type="pct"/>
            <w:tcBorders>
              <w:top w:val="single" w:sz="6" w:space="0" w:color="000000"/>
              <w:left w:val="nil"/>
              <w:bottom w:val="single" w:sz="6" w:space="0" w:color="000000"/>
              <w:right w:val="nil"/>
            </w:tcBorders>
            <w:vAlign w:val="center"/>
          </w:tcPr>
          <w:p w14:paraId="08AB2C5F" w14:textId="77777777" w:rsidR="009F5320" w:rsidRDefault="009F5320" w:rsidP="00350225">
            <w:pPr>
              <w:jc w:val="center"/>
              <w:rPr>
                <w:rStyle w:val="cell"/>
                <w:rFonts w:ascii="Arial Narrow" w:hAnsi="Arial Narrow"/>
                <w:sz w:val="16"/>
                <w:szCs w:val="16"/>
              </w:rPr>
            </w:pPr>
            <w:r>
              <w:rPr>
                <w:rStyle w:val="block"/>
                <w:rFonts w:ascii="Arial Narrow" w:hAnsi="Arial Narrow"/>
                <w:b/>
                <w:bCs/>
                <w:sz w:val="16"/>
                <w:szCs w:val="16"/>
              </w:rPr>
              <w:t>OR 1.00</w:t>
            </w:r>
            <w:r>
              <w:rPr>
                <w:rFonts w:ascii="Arial Narrow" w:hAnsi="Arial Narrow"/>
                <w:sz w:val="16"/>
                <w:szCs w:val="16"/>
              </w:rPr>
              <w:br/>
            </w:r>
            <w:r>
              <w:rPr>
                <w:rStyle w:val="cell"/>
                <w:rFonts w:ascii="Arial Narrow" w:hAnsi="Arial Narrow"/>
                <w:sz w:val="16"/>
                <w:szCs w:val="16"/>
              </w:rPr>
              <w:t xml:space="preserve">(0.41 </w:t>
            </w:r>
            <w:proofErr w:type="spellStart"/>
            <w:r>
              <w:rPr>
                <w:rStyle w:val="cell"/>
                <w:rFonts w:ascii="Arial Narrow" w:hAnsi="Arial Narrow"/>
                <w:sz w:val="16"/>
                <w:szCs w:val="16"/>
              </w:rPr>
              <w:t>to</w:t>
            </w:r>
            <w:proofErr w:type="spellEnd"/>
            <w:r>
              <w:rPr>
                <w:rStyle w:val="cell"/>
                <w:rFonts w:ascii="Arial Narrow" w:hAnsi="Arial Narrow"/>
                <w:sz w:val="16"/>
                <w:szCs w:val="16"/>
              </w:rPr>
              <w:t xml:space="preserve"> 2.46)</w:t>
            </w:r>
          </w:p>
        </w:tc>
        <w:tc>
          <w:tcPr>
            <w:tcW w:w="589" w:type="pct"/>
            <w:tcBorders>
              <w:top w:val="single" w:sz="6" w:space="0" w:color="000000"/>
              <w:left w:val="nil"/>
              <w:bottom w:val="single" w:sz="6" w:space="0" w:color="000000"/>
              <w:right w:val="nil"/>
            </w:tcBorders>
            <w:vAlign w:val="center"/>
          </w:tcPr>
          <w:p w14:paraId="29D1EA57" w14:textId="77777777" w:rsidR="009F5320" w:rsidRDefault="009F5320" w:rsidP="00350225">
            <w:pPr>
              <w:jc w:val="center"/>
              <w:rPr>
                <w:rFonts w:ascii="Arial Narrow" w:hAnsi="Arial Narrow"/>
                <w:sz w:val="16"/>
                <w:szCs w:val="16"/>
              </w:rPr>
            </w:pPr>
            <w:r>
              <w:rPr>
                <w:rFonts w:ascii="Arial Narrow" w:hAnsi="Arial Narrow"/>
                <w:sz w:val="16"/>
                <w:szCs w:val="16"/>
              </w:rPr>
              <w:t>850</w:t>
            </w:r>
            <w:r>
              <w:rPr>
                <w:rFonts w:ascii="Arial Narrow" w:hAnsi="Arial Narrow"/>
                <w:sz w:val="16"/>
                <w:szCs w:val="16"/>
              </w:rPr>
              <w:br/>
              <w:t xml:space="preserve">(4 </w:t>
            </w:r>
            <w:proofErr w:type="spellStart"/>
            <w:r>
              <w:rPr>
                <w:rFonts w:ascii="Arial Narrow" w:hAnsi="Arial Narrow"/>
                <w:sz w:val="16"/>
                <w:szCs w:val="16"/>
              </w:rPr>
              <w:t>RCTs</w:t>
            </w:r>
            <w:proofErr w:type="spellEnd"/>
            <w:r>
              <w:rPr>
                <w:rFonts w:ascii="Arial Narrow" w:hAnsi="Arial Narrow"/>
                <w:sz w:val="16"/>
                <w:szCs w:val="16"/>
              </w:rPr>
              <w:t>)</w:t>
            </w:r>
          </w:p>
        </w:tc>
        <w:tc>
          <w:tcPr>
            <w:tcW w:w="581" w:type="pct"/>
            <w:tcBorders>
              <w:top w:val="single" w:sz="6" w:space="0" w:color="000000"/>
              <w:left w:val="nil"/>
              <w:bottom w:val="single" w:sz="6" w:space="0" w:color="000000"/>
              <w:right w:val="nil"/>
            </w:tcBorders>
            <w:vAlign w:val="center"/>
          </w:tcPr>
          <w:p w14:paraId="7517DD6D" w14:textId="77777777" w:rsidR="009F5320" w:rsidRDefault="009F5320" w:rsidP="00350225">
            <w:pPr>
              <w:jc w:val="center"/>
              <w:rPr>
                <w:rStyle w:val="quality-sign"/>
                <w:rFonts w:ascii="Cambria Math" w:hAnsi="Cambria Math" w:cs="Cambria Math"/>
                <w:sz w:val="21"/>
                <w:szCs w:val="21"/>
              </w:rPr>
            </w:pPr>
            <w:r>
              <w:rPr>
                <w:rStyle w:val="quality-sign"/>
                <w:rFonts w:ascii="Cambria Math" w:hAnsi="Cambria Math" w:cs="Cambria Math"/>
                <w:sz w:val="21"/>
                <w:szCs w:val="21"/>
              </w:rPr>
              <w:t>⨁◯◯◯</w:t>
            </w:r>
            <w:r>
              <w:rPr>
                <w:rFonts w:ascii="Arial Narrow" w:hAnsi="Arial Narrow"/>
                <w:sz w:val="16"/>
                <w:szCs w:val="16"/>
              </w:rPr>
              <w:br/>
            </w:r>
            <w:proofErr w:type="spellStart"/>
            <w:r>
              <w:rPr>
                <w:rStyle w:val="quality-text"/>
                <w:rFonts w:ascii="Arial Narrow" w:hAnsi="Arial Narrow"/>
                <w:sz w:val="16"/>
                <w:szCs w:val="16"/>
              </w:rPr>
              <w:t>Very</w:t>
            </w:r>
            <w:proofErr w:type="spellEnd"/>
            <w:r>
              <w:rPr>
                <w:rStyle w:val="quality-text"/>
                <w:rFonts w:ascii="Arial Narrow" w:hAnsi="Arial Narrow"/>
                <w:sz w:val="16"/>
                <w:szCs w:val="16"/>
              </w:rPr>
              <w:t xml:space="preserve"> </w:t>
            </w:r>
            <w:proofErr w:type="spellStart"/>
            <w:r>
              <w:rPr>
                <w:rStyle w:val="quality-text"/>
                <w:rFonts w:ascii="Arial Narrow" w:hAnsi="Arial Narrow"/>
                <w:sz w:val="16"/>
                <w:szCs w:val="16"/>
              </w:rPr>
              <w:t>low</w:t>
            </w:r>
            <w:r>
              <w:rPr>
                <w:rFonts w:ascii="Arial Narrow" w:hAnsi="Arial Narrow"/>
                <w:sz w:val="16"/>
                <w:szCs w:val="16"/>
                <w:vertAlign w:val="superscript"/>
              </w:rPr>
              <w:t>b</w:t>
            </w:r>
            <w:proofErr w:type="spellEnd"/>
          </w:p>
        </w:tc>
        <w:tc>
          <w:tcPr>
            <w:tcW w:w="1292" w:type="pct"/>
            <w:tcBorders>
              <w:top w:val="single" w:sz="6" w:space="0" w:color="000000"/>
              <w:left w:val="nil"/>
              <w:bottom w:val="single" w:sz="6" w:space="0" w:color="000000"/>
              <w:right w:val="nil"/>
            </w:tcBorders>
            <w:vAlign w:val="center"/>
          </w:tcPr>
          <w:p w14:paraId="2F9685ED" w14:textId="77777777" w:rsidR="009F5320" w:rsidRDefault="009F5320" w:rsidP="00350225">
            <w:pPr>
              <w:jc w:val="center"/>
              <w:rPr>
                <w:rFonts w:ascii="Arial Narrow" w:hAnsi="Arial Narrow"/>
                <w:sz w:val="16"/>
                <w:szCs w:val="16"/>
              </w:rPr>
            </w:pPr>
          </w:p>
        </w:tc>
      </w:tr>
      <w:tr w:rsidR="009F5320" w14:paraId="051E9EF1" w14:textId="77777777" w:rsidTr="009F5320">
        <w:trPr>
          <w:cantSplit/>
        </w:trPr>
        <w:tc>
          <w:tcPr>
            <w:tcW w:w="770" w:type="pct"/>
            <w:tcBorders>
              <w:top w:val="single" w:sz="6" w:space="0" w:color="000000"/>
              <w:left w:val="nil"/>
              <w:bottom w:val="single" w:sz="6" w:space="0" w:color="000000"/>
              <w:right w:val="nil"/>
            </w:tcBorders>
            <w:vAlign w:val="center"/>
          </w:tcPr>
          <w:p w14:paraId="5EF92100" w14:textId="77777777" w:rsidR="009F5320" w:rsidRDefault="009F5320" w:rsidP="00350225">
            <w:pPr>
              <w:jc w:val="center"/>
              <w:rPr>
                <w:rStyle w:val="label"/>
                <w:rFonts w:ascii="Arial Narrow" w:hAnsi="Arial Narrow"/>
                <w:sz w:val="18"/>
                <w:szCs w:val="18"/>
              </w:rPr>
            </w:pPr>
            <w:r>
              <w:rPr>
                <w:rStyle w:val="label"/>
                <w:rFonts w:ascii="Arial Narrow" w:hAnsi="Arial Narrow"/>
                <w:sz w:val="18"/>
                <w:szCs w:val="18"/>
              </w:rPr>
              <w:t xml:space="preserve">Total </w:t>
            </w:r>
            <w:proofErr w:type="spellStart"/>
            <w:r>
              <w:rPr>
                <w:rStyle w:val="label"/>
                <w:rFonts w:ascii="Arial Narrow" w:hAnsi="Arial Narrow"/>
                <w:sz w:val="18"/>
                <w:szCs w:val="18"/>
              </w:rPr>
              <w:t>amoung</w:t>
            </w:r>
            <w:proofErr w:type="spellEnd"/>
            <w:r>
              <w:rPr>
                <w:rStyle w:val="label"/>
                <w:rFonts w:ascii="Arial Narrow" w:hAnsi="Arial Narrow"/>
                <w:sz w:val="18"/>
                <w:szCs w:val="18"/>
              </w:rPr>
              <w:t xml:space="preserve"> of </w:t>
            </w:r>
            <w:proofErr w:type="spellStart"/>
            <w:r>
              <w:rPr>
                <w:rStyle w:val="label"/>
                <w:rFonts w:ascii="Arial Narrow" w:hAnsi="Arial Narrow"/>
                <w:sz w:val="18"/>
                <w:szCs w:val="18"/>
              </w:rPr>
              <w:t>ephedrine</w:t>
            </w:r>
            <w:proofErr w:type="spellEnd"/>
            <w:r>
              <w:rPr>
                <w:rStyle w:val="label"/>
                <w:rFonts w:ascii="Arial Narrow" w:hAnsi="Arial Narrow"/>
                <w:sz w:val="18"/>
                <w:szCs w:val="18"/>
              </w:rPr>
              <w:t xml:space="preserve"> </w:t>
            </w:r>
            <w:proofErr w:type="spellStart"/>
            <w:r>
              <w:rPr>
                <w:rStyle w:val="label"/>
                <w:rFonts w:ascii="Arial Narrow" w:hAnsi="Arial Narrow"/>
                <w:sz w:val="18"/>
                <w:szCs w:val="18"/>
              </w:rPr>
              <w:t>used</w:t>
            </w:r>
            <w:proofErr w:type="spellEnd"/>
            <w:r>
              <w:rPr>
                <w:rStyle w:val="label"/>
                <w:rFonts w:ascii="Arial Narrow" w:hAnsi="Arial Narrow"/>
                <w:sz w:val="18"/>
                <w:szCs w:val="18"/>
              </w:rPr>
              <w:t xml:space="preserve"> (mg)</w:t>
            </w:r>
          </w:p>
        </w:tc>
        <w:tc>
          <w:tcPr>
            <w:tcW w:w="589" w:type="pct"/>
            <w:tcBorders>
              <w:top w:val="single" w:sz="6" w:space="0" w:color="000000"/>
              <w:left w:val="nil"/>
              <w:bottom w:val="single" w:sz="6" w:space="0" w:color="000000"/>
              <w:right w:val="nil"/>
            </w:tcBorders>
            <w:shd w:val="clear" w:color="auto" w:fill="EBEBEB"/>
            <w:vAlign w:val="center"/>
          </w:tcPr>
          <w:p w14:paraId="1673E42E" w14:textId="77777777" w:rsidR="009F5320" w:rsidRDefault="009F5320" w:rsidP="00350225">
            <w:pPr>
              <w:jc w:val="center"/>
              <w:rPr>
                <w:rStyle w:val="cell-value"/>
                <w:rFonts w:ascii="Arial Narrow" w:hAnsi="Arial Narrow"/>
                <w:sz w:val="16"/>
                <w:szCs w:val="16"/>
              </w:rPr>
            </w:pPr>
            <w:r>
              <w:rPr>
                <w:rStyle w:val="cell-value"/>
                <w:rFonts w:ascii="Arial Narrow" w:hAnsi="Arial Narrow"/>
                <w:sz w:val="16"/>
                <w:szCs w:val="16"/>
              </w:rPr>
              <w:t xml:space="preserve">The </w:t>
            </w:r>
            <w:proofErr w:type="spellStart"/>
            <w:r>
              <w:rPr>
                <w:rStyle w:val="cell-value"/>
                <w:rFonts w:ascii="Arial Narrow" w:hAnsi="Arial Narrow"/>
                <w:sz w:val="16"/>
                <w:szCs w:val="16"/>
              </w:rPr>
              <w:t>mean</w:t>
            </w:r>
            <w:proofErr w:type="spellEnd"/>
            <w:r>
              <w:rPr>
                <w:rStyle w:val="cell-value"/>
                <w:rFonts w:ascii="Arial Narrow" w:hAnsi="Arial Narrow"/>
                <w:sz w:val="16"/>
                <w:szCs w:val="16"/>
              </w:rPr>
              <w:t xml:space="preserve"> </w:t>
            </w:r>
            <w:proofErr w:type="spellStart"/>
            <w:r>
              <w:rPr>
                <w:rStyle w:val="cell-value"/>
                <w:rFonts w:ascii="Arial Narrow" w:hAnsi="Arial Narrow"/>
                <w:sz w:val="16"/>
                <w:szCs w:val="16"/>
              </w:rPr>
              <w:t>total</w:t>
            </w:r>
            <w:proofErr w:type="spellEnd"/>
            <w:r>
              <w:rPr>
                <w:rStyle w:val="cell-value"/>
                <w:rFonts w:ascii="Arial Narrow" w:hAnsi="Arial Narrow"/>
                <w:sz w:val="16"/>
                <w:szCs w:val="16"/>
              </w:rPr>
              <w:t xml:space="preserve"> </w:t>
            </w:r>
            <w:proofErr w:type="spellStart"/>
            <w:r>
              <w:rPr>
                <w:rStyle w:val="cell-value"/>
                <w:rFonts w:ascii="Arial Narrow" w:hAnsi="Arial Narrow"/>
                <w:sz w:val="16"/>
                <w:szCs w:val="16"/>
              </w:rPr>
              <w:t>amoung</w:t>
            </w:r>
            <w:proofErr w:type="spellEnd"/>
            <w:r>
              <w:rPr>
                <w:rStyle w:val="cell-value"/>
                <w:rFonts w:ascii="Arial Narrow" w:hAnsi="Arial Narrow"/>
                <w:sz w:val="16"/>
                <w:szCs w:val="16"/>
              </w:rPr>
              <w:t xml:space="preserve"> of </w:t>
            </w:r>
            <w:proofErr w:type="spellStart"/>
            <w:r>
              <w:rPr>
                <w:rStyle w:val="cell-value"/>
                <w:rFonts w:ascii="Arial Narrow" w:hAnsi="Arial Narrow"/>
                <w:sz w:val="16"/>
                <w:szCs w:val="16"/>
              </w:rPr>
              <w:t>ephedrine</w:t>
            </w:r>
            <w:proofErr w:type="spellEnd"/>
            <w:r>
              <w:rPr>
                <w:rStyle w:val="cell-value"/>
                <w:rFonts w:ascii="Arial Narrow" w:hAnsi="Arial Narrow"/>
                <w:sz w:val="16"/>
                <w:szCs w:val="16"/>
              </w:rPr>
              <w:t xml:space="preserve"> </w:t>
            </w:r>
            <w:proofErr w:type="spellStart"/>
            <w:r>
              <w:rPr>
                <w:rStyle w:val="cell-value"/>
                <w:rFonts w:ascii="Arial Narrow" w:hAnsi="Arial Narrow"/>
                <w:sz w:val="16"/>
                <w:szCs w:val="16"/>
              </w:rPr>
              <w:t>used</w:t>
            </w:r>
            <w:proofErr w:type="spellEnd"/>
            <w:r>
              <w:rPr>
                <w:rStyle w:val="cell-value"/>
                <w:rFonts w:ascii="Arial Narrow" w:hAnsi="Arial Narrow"/>
                <w:sz w:val="16"/>
                <w:szCs w:val="16"/>
              </w:rPr>
              <w:t xml:space="preserve"> (mg) </w:t>
            </w:r>
            <w:proofErr w:type="spellStart"/>
            <w:r>
              <w:rPr>
                <w:rStyle w:val="cell-value"/>
                <w:rFonts w:ascii="Arial Narrow" w:hAnsi="Arial Narrow"/>
                <w:sz w:val="16"/>
                <w:szCs w:val="16"/>
              </w:rPr>
              <w:t>was</w:t>
            </w:r>
            <w:proofErr w:type="spellEnd"/>
            <w:r>
              <w:rPr>
                <w:rStyle w:val="cell-value"/>
                <w:rFonts w:ascii="Arial Narrow" w:hAnsi="Arial Narrow"/>
                <w:sz w:val="16"/>
                <w:szCs w:val="16"/>
              </w:rPr>
              <w:t xml:space="preserve"> </w:t>
            </w:r>
            <w:r>
              <w:rPr>
                <w:rStyle w:val="cell-value"/>
                <w:rFonts w:ascii="Arial Narrow" w:hAnsi="Arial Narrow"/>
                <w:b/>
                <w:bCs/>
                <w:sz w:val="16"/>
                <w:szCs w:val="16"/>
              </w:rPr>
              <w:t>0</w:t>
            </w:r>
            <w:r>
              <w:rPr>
                <w:rStyle w:val="cell-value"/>
                <w:rFonts w:ascii="Arial Narrow" w:hAnsi="Arial Narrow"/>
                <w:sz w:val="16"/>
                <w:szCs w:val="16"/>
              </w:rPr>
              <w:t xml:space="preserve"> mg</w:t>
            </w:r>
          </w:p>
        </w:tc>
        <w:tc>
          <w:tcPr>
            <w:tcW w:w="589" w:type="pct"/>
            <w:tcBorders>
              <w:top w:val="single" w:sz="6" w:space="0" w:color="000000"/>
              <w:left w:val="nil"/>
              <w:bottom w:val="single" w:sz="6" w:space="0" w:color="000000"/>
              <w:right w:val="nil"/>
            </w:tcBorders>
            <w:shd w:val="clear" w:color="auto" w:fill="EBEBEB"/>
          </w:tcPr>
          <w:p w14:paraId="770570C1" w14:textId="77777777" w:rsidR="009F5320" w:rsidRDefault="009F5320" w:rsidP="00350225">
            <w:pPr>
              <w:jc w:val="center"/>
              <w:rPr>
                <w:rStyle w:val="cell-value"/>
                <w:rFonts w:ascii="Arial Narrow" w:hAnsi="Arial Narrow"/>
                <w:sz w:val="16"/>
                <w:szCs w:val="16"/>
              </w:rPr>
            </w:pPr>
            <w:r>
              <w:rPr>
                <w:rStyle w:val="cell-value"/>
                <w:rFonts w:ascii="Arial Narrow" w:hAnsi="Arial Narrow"/>
                <w:sz w:val="16"/>
                <w:szCs w:val="16"/>
              </w:rPr>
              <w:t xml:space="preserve">MD </w:t>
            </w:r>
            <w:r>
              <w:rPr>
                <w:rStyle w:val="cell-value"/>
                <w:rFonts w:ascii="Arial Narrow" w:hAnsi="Arial Narrow"/>
                <w:b/>
                <w:bCs/>
                <w:sz w:val="16"/>
                <w:szCs w:val="16"/>
              </w:rPr>
              <w:t xml:space="preserve">0.22 mg </w:t>
            </w:r>
            <w:proofErr w:type="spellStart"/>
            <w:r>
              <w:rPr>
                <w:rStyle w:val="cell-value"/>
                <w:rFonts w:ascii="Arial Narrow" w:hAnsi="Arial Narrow"/>
                <w:b/>
                <w:bCs/>
                <w:sz w:val="16"/>
                <w:szCs w:val="16"/>
              </w:rPr>
              <w:t>higher</w:t>
            </w:r>
            <w:proofErr w:type="spellEnd"/>
            <w:r>
              <w:rPr>
                <w:rFonts w:ascii="Arial Narrow" w:hAnsi="Arial Narrow"/>
                <w:sz w:val="16"/>
                <w:szCs w:val="16"/>
              </w:rPr>
              <w:br/>
            </w:r>
            <w:r>
              <w:rPr>
                <w:rStyle w:val="cell-value"/>
                <w:rFonts w:ascii="Arial Narrow" w:hAnsi="Arial Narrow"/>
                <w:sz w:val="16"/>
                <w:szCs w:val="16"/>
              </w:rPr>
              <w:t xml:space="preserve">(1.23 </w:t>
            </w:r>
            <w:proofErr w:type="spellStart"/>
            <w:r>
              <w:rPr>
                <w:rStyle w:val="cell-value"/>
                <w:rFonts w:ascii="Arial Narrow" w:hAnsi="Arial Narrow"/>
                <w:sz w:val="16"/>
                <w:szCs w:val="16"/>
              </w:rPr>
              <w:t>lower</w:t>
            </w:r>
            <w:proofErr w:type="spellEnd"/>
            <w:r>
              <w:rPr>
                <w:rStyle w:val="cell-value"/>
                <w:rFonts w:ascii="Arial Narrow" w:hAnsi="Arial Narrow"/>
                <w:sz w:val="16"/>
                <w:szCs w:val="16"/>
              </w:rPr>
              <w:t xml:space="preserve"> </w:t>
            </w:r>
            <w:proofErr w:type="spellStart"/>
            <w:r>
              <w:rPr>
                <w:rStyle w:val="cell-value"/>
                <w:rFonts w:ascii="Arial Narrow" w:hAnsi="Arial Narrow"/>
                <w:sz w:val="16"/>
                <w:szCs w:val="16"/>
              </w:rPr>
              <w:t>to</w:t>
            </w:r>
            <w:proofErr w:type="spellEnd"/>
            <w:r>
              <w:rPr>
                <w:rStyle w:val="cell-value"/>
                <w:rFonts w:ascii="Arial Narrow" w:hAnsi="Arial Narrow"/>
                <w:sz w:val="16"/>
                <w:szCs w:val="16"/>
              </w:rPr>
              <w:t xml:space="preserve"> 1.68 </w:t>
            </w:r>
            <w:proofErr w:type="spellStart"/>
            <w:r>
              <w:rPr>
                <w:rStyle w:val="cell-value"/>
                <w:rFonts w:ascii="Arial Narrow" w:hAnsi="Arial Narrow"/>
                <w:sz w:val="16"/>
                <w:szCs w:val="16"/>
              </w:rPr>
              <w:t>higher</w:t>
            </w:r>
            <w:proofErr w:type="spellEnd"/>
            <w:r>
              <w:rPr>
                <w:rStyle w:val="cell-value"/>
                <w:rFonts w:ascii="Arial Narrow" w:hAnsi="Arial Narrow"/>
                <w:sz w:val="16"/>
                <w:szCs w:val="16"/>
              </w:rPr>
              <w:t>)</w:t>
            </w:r>
          </w:p>
        </w:tc>
        <w:tc>
          <w:tcPr>
            <w:tcW w:w="589" w:type="pct"/>
            <w:tcBorders>
              <w:top w:val="single" w:sz="6" w:space="0" w:color="000000"/>
              <w:left w:val="nil"/>
              <w:bottom w:val="single" w:sz="6" w:space="0" w:color="000000"/>
              <w:right w:val="nil"/>
            </w:tcBorders>
            <w:vAlign w:val="center"/>
          </w:tcPr>
          <w:p w14:paraId="26C39739" w14:textId="77777777" w:rsidR="009F5320" w:rsidRDefault="009F5320" w:rsidP="00350225">
            <w:pPr>
              <w:jc w:val="center"/>
              <w:rPr>
                <w:rStyle w:val="cell"/>
                <w:rFonts w:ascii="Arial Narrow" w:hAnsi="Arial Narrow"/>
                <w:sz w:val="16"/>
                <w:szCs w:val="16"/>
              </w:rPr>
            </w:pPr>
            <w:r>
              <w:rPr>
                <w:rStyle w:val="cell"/>
                <w:rFonts w:ascii="Arial Narrow" w:hAnsi="Arial Narrow"/>
                <w:sz w:val="16"/>
                <w:szCs w:val="16"/>
              </w:rPr>
              <w:t>-</w:t>
            </w:r>
          </w:p>
        </w:tc>
        <w:tc>
          <w:tcPr>
            <w:tcW w:w="589" w:type="pct"/>
            <w:tcBorders>
              <w:top w:val="single" w:sz="6" w:space="0" w:color="000000"/>
              <w:left w:val="nil"/>
              <w:bottom w:val="single" w:sz="6" w:space="0" w:color="000000"/>
              <w:right w:val="nil"/>
            </w:tcBorders>
            <w:vAlign w:val="center"/>
          </w:tcPr>
          <w:p w14:paraId="388D29F8" w14:textId="77777777" w:rsidR="009F5320" w:rsidRDefault="009F5320" w:rsidP="00350225">
            <w:pPr>
              <w:jc w:val="center"/>
              <w:rPr>
                <w:rFonts w:ascii="Arial Narrow" w:hAnsi="Arial Narrow"/>
                <w:sz w:val="16"/>
                <w:szCs w:val="16"/>
              </w:rPr>
            </w:pPr>
            <w:r>
              <w:rPr>
                <w:rFonts w:ascii="Arial Narrow" w:hAnsi="Arial Narrow"/>
                <w:sz w:val="16"/>
                <w:szCs w:val="16"/>
              </w:rPr>
              <w:t>323</w:t>
            </w:r>
            <w:r>
              <w:rPr>
                <w:rFonts w:ascii="Arial Narrow" w:hAnsi="Arial Narrow"/>
                <w:sz w:val="16"/>
                <w:szCs w:val="16"/>
              </w:rPr>
              <w:br/>
              <w:t xml:space="preserve">(6 </w:t>
            </w:r>
            <w:proofErr w:type="spellStart"/>
            <w:r>
              <w:rPr>
                <w:rFonts w:ascii="Arial Narrow" w:hAnsi="Arial Narrow"/>
                <w:sz w:val="16"/>
                <w:szCs w:val="16"/>
              </w:rPr>
              <w:t>RCTs</w:t>
            </w:r>
            <w:proofErr w:type="spellEnd"/>
            <w:r>
              <w:rPr>
                <w:rFonts w:ascii="Arial Narrow" w:hAnsi="Arial Narrow"/>
                <w:sz w:val="16"/>
                <w:szCs w:val="16"/>
              </w:rPr>
              <w:t>)</w:t>
            </w:r>
          </w:p>
        </w:tc>
        <w:tc>
          <w:tcPr>
            <w:tcW w:w="581" w:type="pct"/>
            <w:tcBorders>
              <w:top w:val="single" w:sz="6" w:space="0" w:color="000000"/>
              <w:left w:val="nil"/>
              <w:bottom w:val="single" w:sz="6" w:space="0" w:color="000000"/>
              <w:right w:val="nil"/>
            </w:tcBorders>
            <w:vAlign w:val="center"/>
          </w:tcPr>
          <w:p w14:paraId="1A8FD4C8" w14:textId="77777777" w:rsidR="009F5320" w:rsidRDefault="009F5320" w:rsidP="00350225">
            <w:pPr>
              <w:jc w:val="center"/>
              <w:rPr>
                <w:rStyle w:val="quality-sign"/>
                <w:rFonts w:ascii="Cambria Math" w:hAnsi="Cambria Math" w:cs="Cambria Math"/>
                <w:sz w:val="21"/>
                <w:szCs w:val="21"/>
              </w:rPr>
            </w:pPr>
            <w:r>
              <w:rPr>
                <w:rStyle w:val="quality-sign"/>
                <w:rFonts w:ascii="Cambria Math" w:hAnsi="Cambria Math" w:cs="Cambria Math"/>
                <w:sz w:val="21"/>
                <w:szCs w:val="21"/>
              </w:rPr>
              <w:t>⨁⨁⨁◯</w:t>
            </w:r>
            <w:r>
              <w:rPr>
                <w:rFonts w:ascii="Arial Narrow" w:hAnsi="Arial Narrow"/>
                <w:sz w:val="16"/>
                <w:szCs w:val="16"/>
              </w:rPr>
              <w:br/>
            </w:r>
            <w:proofErr w:type="spellStart"/>
            <w:r>
              <w:rPr>
                <w:rStyle w:val="quality-text"/>
                <w:rFonts w:ascii="Arial Narrow" w:hAnsi="Arial Narrow"/>
                <w:sz w:val="16"/>
                <w:szCs w:val="16"/>
              </w:rPr>
              <w:t>Moderate</w:t>
            </w:r>
            <w:r>
              <w:rPr>
                <w:rFonts w:ascii="Arial Narrow" w:hAnsi="Arial Narrow"/>
                <w:sz w:val="16"/>
                <w:szCs w:val="16"/>
                <w:vertAlign w:val="superscript"/>
              </w:rPr>
              <w:t>b</w:t>
            </w:r>
            <w:proofErr w:type="spellEnd"/>
          </w:p>
        </w:tc>
        <w:tc>
          <w:tcPr>
            <w:tcW w:w="1292" w:type="pct"/>
            <w:tcBorders>
              <w:top w:val="single" w:sz="6" w:space="0" w:color="000000"/>
              <w:left w:val="nil"/>
              <w:bottom w:val="single" w:sz="6" w:space="0" w:color="000000"/>
              <w:right w:val="nil"/>
            </w:tcBorders>
            <w:vAlign w:val="center"/>
          </w:tcPr>
          <w:p w14:paraId="1AE2AD4A" w14:textId="77777777" w:rsidR="009F5320" w:rsidRDefault="009F5320" w:rsidP="00350225">
            <w:pPr>
              <w:jc w:val="center"/>
              <w:rPr>
                <w:rFonts w:ascii="Arial Narrow" w:hAnsi="Arial Narrow"/>
                <w:sz w:val="16"/>
                <w:szCs w:val="16"/>
              </w:rPr>
            </w:pPr>
          </w:p>
        </w:tc>
      </w:tr>
      <w:tr w:rsidR="009F5320" w14:paraId="449A717E" w14:textId="77777777" w:rsidTr="009F5320">
        <w:trPr>
          <w:cantSplit/>
        </w:trPr>
        <w:tc>
          <w:tcPr>
            <w:tcW w:w="770" w:type="pct"/>
            <w:tcBorders>
              <w:top w:val="single" w:sz="6" w:space="0" w:color="000000"/>
              <w:left w:val="nil"/>
              <w:bottom w:val="single" w:sz="6" w:space="0" w:color="000000"/>
              <w:right w:val="nil"/>
            </w:tcBorders>
            <w:vAlign w:val="center"/>
          </w:tcPr>
          <w:p w14:paraId="02C439BA" w14:textId="77777777" w:rsidR="009F5320" w:rsidRDefault="009F5320" w:rsidP="00350225">
            <w:pPr>
              <w:jc w:val="center"/>
              <w:rPr>
                <w:rStyle w:val="label"/>
                <w:rFonts w:ascii="Arial Narrow" w:hAnsi="Arial Narrow"/>
                <w:sz w:val="18"/>
                <w:szCs w:val="18"/>
              </w:rPr>
            </w:pPr>
            <w:r>
              <w:rPr>
                <w:rStyle w:val="label"/>
                <w:rFonts w:ascii="Arial Narrow" w:hAnsi="Arial Narrow"/>
                <w:sz w:val="18"/>
                <w:szCs w:val="18"/>
              </w:rPr>
              <w:t xml:space="preserve">Total </w:t>
            </w:r>
            <w:proofErr w:type="spellStart"/>
            <w:r>
              <w:rPr>
                <w:rStyle w:val="label"/>
                <w:rFonts w:ascii="Arial Narrow" w:hAnsi="Arial Narrow"/>
                <w:sz w:val="18"/>
                <w:szCs w:val="18"/>
              </w:rPr>
              <w:t>amount</w:t>
            </w:r>
            <w:proofErr w:type="spellEnd"/>
            <w:r>
              <w:rPr>
                <w:rStyle w:val="label"/>
                <w:rFonts w:ascii="Arial Narrow" w:hAnsi="Arial Narrow"/>
                <w:sz w:val="18"/>
                <w:szCs w:val="18"/>
              </w:rPr>
              <w:t xml:space="preserve"> of </w:t>
            </w:r>
            <w:proofErr w:type="spellStart"/>
            <w:r>
              <w:rPr>
                <w:rStyle w:val="label"/>
                <w:rFonts w:ascii="Arial Narrow" w:hAnsi="Arial Narrow"/>
                <w:sz w:val="18"/>
                <w:szCs w:val="18"/>
              </w:rPr>
              <w:t>phenilephrine</w:t>
            </w:r>
            <w:proofErr w:type="spellEnd"/>
            <w:r>
              <w:rPr>
                <w:rStyle w:val="label"/>
                <w:rFonts w:ascii="Arial Narrow" w:hAnsi="Arial Narrow"/>
                <w:sz w:val="18"/>
                <w:szCs w:val="18"/>
              </w:rPr>
              <w:t xml:space="preserve"> </w:t>
            </w:r>
            <w:proofErr w:type="spellStart"/>
            <w:r>
              <w:rPr>
                <w:rStyle w:val="label"/>
                <w:rFonts w:ascii="Arial Narrow" w:hAnsi="Arial Narrow"/>
                <w:sz w:val="18"/>
                <w:szCs w:val="18"/>
              </w:rPr>
              <w:t>used</w:t>
            </w:r>
            <w:proofErr w:type="spellEnd"/>
            <w:r>
              <w:rPr>
                <w:rStyle w:val="label"/>
                <w:rFonts w:ascii="Arial Narrow" w:hAnsi="Arial Narrow"/>
                <w:sz w:val="18"/>
                <w:szCs w:val="18"/>
              </w:rPr>
              <w:t xml:space="preserve"> (</w:t>
            </w:r>
            <w:proofErr w:type="spellStart"/>
            <w:r>
              <w:rPr>
                <w:rStyle w:val="label"/>
                <w:rFonts w:ascii="Arial Narrow" w:hAnsi="Arial Narrow"/>
                <w:sz w:val="18"/>
                <w:szCs w:val="18"/>
              </w:rPr>
              <w:t>mcg</w:t>
            </w:r>
            <w:proofErr w:type="spellEnd"/>
            <w:r>
              <w:rPr>
                <w:rStyle w:val="label"/>
                <w:rFonts w:ascii="Arial Narrow" w:hAnsi="Arial Narrow"/>
                <w:sz w:val="18"/>
                <w:szCs w:val="18"/>
              </w:rPr>
              <w:t>)</w:t>
            </w:r>
          </w:p>
        </w:tc>
        <w:tc>
          <w:tcPr>
            <w:tcW w:w="589" w:type="pct"/>
            <w:tcBorders>
              <w:top w:val="single" w:sz="6" w:space="0" w:color="000000"/>
              <w:left w:val="nil"/>
              <w:bottom w:val="single" w:sz="6" w:space="0" w:color="000000"/>
              <w:right w:val="nil"/>
            </w:tcBorders>
            <w:shd w:val="clear" w:color="auto" w:fill="EBEBEB"/>
            <w:vAlign w:val="center"/>
          </w:tcPr>
          <w:p w14:paraId="3CE7548F" w14:textId="77777777" w:rsidR="009F5320" w:rsidRDefault="009F5320" w:rsidP="00350225">
            <w:pPr>
              <w:jc w:val="center"/>
              <w:rPr>
                <w:rStyle w:val="cell-value"/>
                <w:rFonts w:ascii="Arial Narrow" w:hAnsi="Arial Narrow"/>
                <w:sz w:val="16"/>
                <w:szCs w:val="16"/>
              </w:rPr>
            </w:pPr>
            <w:r>
              <w:rPr>
                <w:rStyle w:val="cell-value"/>
                <w:rFonts w:ascii="Arial Narrow" w:hAnsi="Arial Narrow"/>
                <w:sz w:val="16"/>
                <w:szCs w:val="16"/>
              </w:rPr>
              <w:t xml:space="preserve">The </w:t>
            </w:r>
            <w:proofErr w:type="spellStart"/>
            <w:r>
              <w:rPr>
                <w:rStyle w:val="cell-value"/>
                <w:rFonts w:ascii="Arial Narrow" w:hAnsi="Arial Narrow"/>
                <w:sz w:val="16"/>
                <w:szCs w:val="16"/>
              </w:rPr>
              <w:t>mean</w:t>
            </w:r>
            <w:proofErr w:type="spellEnd"/>
            <w:r>
              <w:rPr>
                <w:rStyle w:val="cell-value"/>
                <w:rFonts w:ascii="Arial Narrow" w:hAnsi="Arial Narrow"/>
                <w:sz w:val="16"/>
                <w:szCs w:val="16"/>
              </w:rPr>
              <w:t xml:space="preserve"> </w:t>
            </w:r>
            <w:proofErr w:type="spellStart"/>
            <w:r>
              <w:rPr>
                <w:rStyle w:val="cell-value"/>
                <w:rFonts w:ascii="Arial Narrow" w:hAnsi="Arial Narrow"/>
                <w:sz w:val="16"/>
                <w:szCs w:val="16"/>
              </w:rPr>
              <w:t>total</w:t>
            </w:r>
            <w:proofErr w:type="spellEnd"/>
            <w:r>
              <w:rPr>
                <w:rStyle w:val="cell-value"/>
                <w:rFonts w:ascii="Arial Narrow" w:hAnsi="Arial Narrow"/>
                <w:sz w:val="16"/>
                <w:szCs w:val="16"/>
              </w:rPr>
              <w:t xml:space="preserve"> </w:t>
            </w:r>
            <w:proofErr w:type="spellStart"/>
            <w:r>
              <w:rPr>
                <w:rStyle w:val="cell-value"/>
                <w:rFonts w:ascii="Arial Narrow" w:hAnsi="Arial Narrow"/>
                <w:sz w:val="16"/>
                <w:szCs w:val="16"/>
              </w:rPr>
              <w:t>amount</w:t>
            </w:r>
            <w:proofErr w:type="spellEnd"/>
            <w:r>
              <w:rPr>
                <w:rStyle w:val="cell-value"/>
                <w:rFonts w:ascii="Arial Narrow" w:hAnsi="Arial Narrow"/>
                <w:sz w:val="16"/>
                <w:szCs w:val="16"/>
              </w:rPr>
              <w:t xml:space="preserve"> of </w:t>
            </w:r>
            <w:proofErr w:type="spellStart"/>
            <w:r>
              <w:rPr>
                <w:rStyle w:val="cell-value"/>
                <w:rFonts w:ascii="Arial Narrow" w:hAnsi="Arial Narrow"/>
                <w:sz w:val="16"/>
                <w:szCs w:val="16"/>
              </w:rPr>
              <w:t>phenilephrine</w:t>
            </w:r>
            <w:proofErr w:type="spellEnd"/>
            <w:r>
              <w:rPr>
                <w:rStyle w:val="cell-value"/>
                <w:rFonts w:ascii="Arial Narrow" w:hAnsi="Arial Narrow"/>
                <w:sz w:val="16"/>
                <w:szCs w:val="16"/>
              </w:rPr>
              <w:t xml:space="preserve"> </w:t>
            </w:r>
            <w:proofErr w:type="spellStart"/>
            <w:r>
              <w:rPr>
                <w:rStyle w:val="cell-value"/>
                <w:rFonts w:ascii="Arial Narrow" w:hAnsi="Arial Narrow"/>
                <w:sz w:val="16"/>
                <w:szCs w:val="16"/>
              </w:rPr>
              <w:t>used</w:t>
            </w:r>
            <w:proofErr w:type="spellEnd"/>
            <w:r>
              <w:rPr>
                <w:rStyle w:val="cell-value"/>
                <w:rFonts w:ascii="Arial Narrow" w:hAnsi="Arial Narrow"/>
                <w:sz w:val="16"/>
                <w:szCs w:val="16"/>
              </w:rPr>
              <w:t xml:space="preserve"> (</w:t>
            </w:r>
            <w:proofErr w:type="spellStart"/>
            <w:r>
              <w:rPr>
                <w:rStyle w:val="cell-value"/>
                <w:rFonts w:ascii="Arial Narrow" w:hAnsi="Arial Narrow"/>
                <w:sz w:val="16"/>
                <w:szCs w:val="16"/>
              </w:rPr>
              <w:t>mcg</w:t>
            </w:r>
            <w:proofErr w:type="spellEnd"/>
            <w:r>
              <w:rPr>
                <w:rStyle w:val="cell-value"/>
                <w:rFonts w:ascii="Arial Narrow" w:hAnsi="Arial Narrow"/>
                <w:sz w:val="16"/>
                <w:szCs w:val="16"/>
              </w:rPr>
              <w:t xml:space="preserve">) </w:t>
            </w:r>
            <w:proofErr w:type="spellStart"/>
            <w:r>
              <w:rPr>
                <w:rStyle w:val="cell-value"/>
                <w:rFonts w:ascii="Arial Narrow" w:hAnsi="Arial Narrow"/>
                <w:sz w:val="16"/>
                <w:szCs w:val="16"/>
              </w:rPr>
              <w:t>was</w:t>
            </w:r>
            <w:proofErr w:type="spellEnd"/>
            <w:r>
              <w:rPr>
                <w:rStyle w:val="cell-value"/>
                <w:rFonts w:ascii="Arial Narrow" w:hAnsi="Arial Narrow"/>
                <w:sz w:val="16"/>
                <w:szCs w:val="16"/>
              </w:rPr>
              <w:t xml:space="preserve"> </w:t>
            </w:r>
            <w:r>
              <w:rPr>
                <w:rStyle w:val="cell-value"/>
                <w:rFonts w:ascii="Arial Narrow" w:hAnsi="Arial Narrow"/>
                <w:b/>
                <w:bCs/>
                <w:sz w:val="16"/>
                <w:szCs w:val="16"/>
              </w:rPr>
              <w:t>0</w:t>
            </w:r>
            <w:r>
              <w:rPr>
                <w:rStyle w:val="cell-value"/>
                <w:rFonts w:ascii="Arial Narrow" w:hAnsi="Arial Narrow"/>
                <w:sz w:val="16"/>
                <w:szCs w:val="16"/>
              </w:rPr>
              <w:t xml:space="preserve"> </w:t>
            </w:r>
            <w:proofErr w:type="spellStart"/>
            <w:r>
              <w:rPr>
                <w:rStyle w:val="cell-value"/>
                <w:rFonts w:ascii="Arial Narrow" w:hAnsi="Arial Narrow"/>
                <w:sz w:val="16"/>
                <w:szCs w:val="16"/>
              </w:rPr>
              <w:t>mcg</w:t>
            </w:r>
            <w:proofErr w:type="spellEnd"/>
          </w:p>
        </w:tc>
        <w:tc>
          <w:tcPr>
            <w:tcW w:w="589" w:type="pct"/>
            <w:tcBorders>
              <w:top w:val="single" w:sz="6" w:space="0" w:color="000000"/>
              <w:left w:val="nil"/>
              <w:bottom w:val="single" w:sz="6" w:space="0" w:color="000000"/>
              <w:right w:val="nil"/>
            </w:tcBorders>
            <w:shd w:val="clear" w:color="auto" w:fill="EBEBEB"/>
          </w:tcPr>
          <w:p w14:paraId="11A3D070" w14:textId="77777777" w:rsidR="009F5320" w:rsidRDefault="009F5320" w:rsidP="00350225">
            <w:pPr>
              <w:jc w:val="center"/>
              <w:rPr>
                <w:rStyle w:val="cell-value"/>
                <w:rFonts w:ascii="Arial Narrow" w:hAnsi="Arial Narrow"/>
                <w:sz w:val="16"/>
                <w:szCs w:val="16"/>
              </w:rPr>
            </w:pPr>
            <w:r>
              <w:rPr>
                <w:rStyle w:val="cell-value"/>
                <w:rFonts w:ascii="Arial Narrow" w:hAnsi="Arial Narrow"/>
                <w:sz w:val="16"/>
                <w:szCs w:val="16"/>
              </w:rPr>
              <w:t xml:space="preserve">MD </w:t>
            </w:r>
            <w:r>
              <w:rPr>
                <w:rStyle w:val="cell-value"/>
                <w:rFonts w:ascii="Arial Narrow" w:hAnsi="Arial Narrow"/>
                <w:b/>
                <w:bCs/>
                <w:sz w:val="16"/>
                <w:szCs w:val="16"/>
              </w:rPr>
              <w:t xml:space="preserve">0 </w:t>
            </w:r>
            <w:proofErr w:type="spellStart"/>
            <w:r>
              <w:rPr>
                <w:rStyle w:val="cell-value"/>
                <w:rFonts w:ascii="Arial Narrow" w:hAnsi="Arial Narrow"/>
                <w:b/>
                <w:bCs/>
                <w:sz w:val="16"/>
                <w:szCs w:val="16"/>
              </w:rPr>
              <w:t>mcg</w:t>
            </w:r>
            <w:proofErr w:type="spellEnd"/>
            <w:r>
              <w:rPr>
                <w:rStyle w:val="cell-value"/>
                <w:rFonts w:ascii="Arial Narrow" w:hAnsi="Arial Narrow"/>
                <w:b/>
                <w:bCs/>
                <w:sz w:val="16"/>
                <w:szCs w:val="16"/>
              </w:rPr>
              <w:t xml:space="preserve"> </w:t>
            </w:r>
            <w:r>
              <w:rPr>
                <w:rFonts w:ascii="Arial Narrow" w:hAnsi="Arial Narrow"/>
                <w:sz w:val="16"/>
                <w:szCs w:val="16"/>
              </w:rPr>
              <w:br/>
            </w:r>
            <w:r>
              <w:rPr>
                <w:rStyle w:val="cell-value"/>
                <w:rFonts w:ascii="Arial Narrow" w:hAnsi="Arial Narrow"/>
                <w:sz w:val="16"/>
                <w:szCs w:val="16"/>
              </w:rPr>
              <w:t xml:space="preserve">(0 </w:t>
            </w:r>
            <w:proofErr w:type="spellStart"/>
            <w:r>
              <w:rPr>
                <w:rStyle w:val="cell-value"/>
                <w:rFonts w:ascii="Arial Narrow" w:hAnsi="Arial Narrow"/>
                <w:sz w:val="16"/>
                <w:szCs w:val="16"/>
              </w:rPr>
              <w:t>to</w:t>
            </w:r>
            <w:proofErr w:type="spellEnd"/>
            <w:r>
              <w:rPr>
                <w:rStyle w:val="cell-value"/>
                <w:rFonts w:ascii="Arial Narrow" w:hAnsi="Arial Narrow"/>
                <w:sz w:val="16"/>
                <w:szCs w:val="16"/>
              </w:rPr>
              <w:t xml:space="preserve"> </w:t>
            </w:r>
            <w:proofErr w:type="gramStart"/>
            <w:r>
              <w:rPr>
                <w:rStyle w:val="cell-value"/>
                <w:rFonts w:ascii="Arial Narrow" w:hAnsi="Arial Narrow"/>
                <w:sz w:val="16"/>
                <w:szCs w:val="16"/>
              </w:rPr>
              <w:t>0 )</w:t>
            </w:r>
            <w:proofErr w:type="gramEnd"/>
          </w:p>
        </w:tc>
        <w:tc>
          <w:tcPr>
            <w:tcW w:w="589" w:type="pct"/>
            <w:tcBorders>
              <w:top w:val="single" w:sz="6" w:space="0" w:color="000000"/>
              <w:left w:val="nil"/>
              <w:bottom w:val="single" w:sz="6" w:space="0" w:color="000000"/>
              <w:right w:val="nil"/>
            </w:tcBorders>
            <w:vAlign w:val="center"/>
          </w:tcPr>
          <w:p w14:paraId="5480250A" w14:textId="77777777" w:rsidR="009F5320" w:rsidRDefault="009F5320" w:rsidP="00350225">
            <w:pPr>
              <w:jc w:val="center"/>
              <w:rPr>
                <w:rStyle w:val="cell"/>
                <w:rFonts w:ascii="Arial Narrow" w:hAnsi="Arial Narrow"/>
                <w:sz w:val="16"/>
                <w:szCs w:val="16"/>
              </w:rPr>
            </w:pPr>
            <w:r>
              <w:rPr>
                <w:rStyle w:val="cell"/>
                <w:rFonts w:ascii="Arial Narrow" w:hAnsi="Arial Narrow"/>
                <w:sz w:val="16"/>
                <w:szCs w:val="16"/>
              </w:rPr>
              <w:t>-</w:t>
            </w:r>
          </w:p>
        </w:tc>
        <w:tc>
          <w:tcPr>
            <w:tcW w:w="589" w:type="pct"/>
            <w:tcBorders>
              <w:top w:val="single" w:sz="6" w:space="0" w:color="000000"/>
              <w:left w:val="nil"/>
              <w:bottom w:val="single" w:sz="6" w:space="0" w:color="000000"/>
              <w:right w:val="nil"/>
            </w:tcBorders>
            <w:vAlign w:val="center"/>
          </w:tcPr>
          <w:p w14:paraId="5319CDFE" w14:textId="77777777" w:rsidR="009F5320" w:rsidRDefault="009F5320" w:rsidP="00350225">
            <w:pPr>
              <w:jc w:val="center"/>
              <w:rPr>
                <w:rFonts w:ascii="Arial Narrow" w:hAnsi="Arial Narrow"/>
                <w:sz w:val="16"/>
                <w:szCs w:val="16"/>
              </w:rPr>
            </w:pPr>
            <w:r>
              <w:rPr>
                <w:rFonts w:ascii="Arial Narrow" w:hAnsi="Arial Narrow"/>
                <w:sz w:val="16"/>
                <w:szCs w:val="16"/>
              </w:rPr>
              <w:t>416</w:t>
            </w:r>
            <w:r>
              <w:rPr>
                <w:rFonts w:ascii="Arial Narrow" w:hAnsi="Arial Narrow"/>
                <w:sz w:val="16"/>
                <w:szCs w:val="16"/>
              </w:rPr>
              <w:br/>
              <w:t xml:space="preserve">(6 </w:t>
            </w:r>
            <w:proofErr w:type="spellStart"/>
            <w:r>
              <w:rPr>
                <w:rFonts w:ascii="Arial Narrow" w:hAnsi="Arial Narrow"/>
                <w:sz w:val="16"/>
                <w:szCs w:val="16"/>
              </w:rPr>
              <w:t>RCTs</w:t>
            </w:r>
            <w:proofErr w:type="spellEnd"/>
            <w:r>
              <w:rPr>
                <w:rFonts w:ascii="Arial Narrow" w:hAnsi="Arial Narrow"/>
                <w:sz w:val="16"/>
                <w:szCs w:val="16"/>
              </w:rPr>
              <w:t>)</w:t>
            </w:r>
          </w:p>
        </w:tc>
        <w:tc>
          <w:tcPr>
            <w:tcW w:w="581" w:type="pct"/>
            <w:tcBorders>
              <w:top w:val="single" w:sz="6" w:space="0" w:color="000000"/>
              <w:left w:val="nil"/>
              <w:bottom w:val="single" w:sz="6" w:space="0" w:color="000000"/>
              <w:right w:val="nil"/>
            </w:tcBorders>
            <w:vAlign w:val="center"/>
          </w:tcPr>
          <w:p w14:paraId="20006F8E" w14:textId="77777777" w:rsidR="009F5320" w:rsidRDefault="009F5320" w:rsidP="00350225">
            <w:pPr>
              <w:jc w:val="center"/>
              <w:rPr>
                <w:rStyle w:val="quality-sign"/>
                <w:rFonts w:ascii="Cambria Math" w:hAnsi="Cambria Math" w:cs="Cambria Math"/>
                <w:sz w:val="21"/>
                <w:szCs w:val="21"/>
              </w:rPr>
            </w:pPr>
            <w:r>
              <w:rPr>
                <w:rStyle w:val="quality-sign"/>
                <w:rFonts w:ascii="Cambria Math" w:hAnsi="Cambria Math" w:cs="Cambria Math"/>
                <w:sz w:val="21"/>
                <w:szCs w:val="21"/>
              </w:rPr>
              <w:t>⨁⨁◯◯</w:t>
            </w:r>
            <w:r>
              <w:rPr>
                <w:rFonts w:ascii="Arial Narrow" w:hAnsi="Arial Narrow"/>
                <w:sz w:val="16"/>
                <w:szCs w:val="16"/>
              </w:rPr>
              <w:br/>
            </w:r>
            <w:proofErr w:type="spellStart"/>
            <w:r>
              <w:rPr>
                <w:rStyle w:val="quality-text"/>
                <w:rFonts w:ascii="Arial Narrow" w:hAnsi="Arial Narrow"/>
                <w:sz w:val="16"/>
                <w:szCs w:val="16"/>
              </w:rPr>
              <w:t>Low</w:t>
            </w:r>
            <w:r>
              <w:rPr>
                <w:rFonts w:ascii="Arial Narrow" w:hAnsi="Arial Narrow"/>
                <w:sz w:val="16"/>
                <w:szCs w:val="16"/>
                <w:vertAlign w:val="superscript"/>
              </w:rPr>
              <w:t>b</w:t>
            </w:r>
            <w:proofErr w:type="spellEnd"/>
          </w:p>
        </w:tc>
        <w:tc>
          <w:tcPr>
            <w:tcW w:w="1292" w:type="pct"/>
            <w:tcBorders>
              <w:top w:val="single" w:sz="6" w:space="0" w:color="000000"/>
              <w:left w:val="nil"/>
              <w:bottom w:val="single" w:sz="6" w:space="0" w:color="000000"/>
              <w:right w:val="nil"/>
            </w:tcBorders>
            <w:vAlign w:val="center"/>
          </w:tcPr>
          <w:p w14:paraId="4BC44BBD" w14:textId="77777777" w:rsidR="009F5320" w:rsidRDefault="009F5320" w:rsidP="00350225">
            <w:pPr>
              <w:jc w:val="center"/>
              <w:rPr>
                <w:rFonts w:ascii="Arial Narrow" w:hAnsi="Arial Narrow"/>
                <w:sz w:val="16"/>
                <w:szCs w:val="16"/>
              </w:rPr>
            </w:pPr>
          </w:p>
        </w:tc>
      </w:tr>
      <w:tr w:rsidR="009F5320" w14:paraId="5EF18BA0" w14:textId="77777777" w:rsidTr="00350225">
        <w:trPr>
          <w:cantSplit/>
        </w:trPr>
        <w:tc>
          <w:tcPr>
            <w:tcW w:w="5000" w:type="pct"/>
            <w:gridSpan w:val="7"/>
            <w:tcBorders>
              <w:top w:val="single" w:sz="6" w:space="0" w:color="000000"/>
              <w:left w:val="nil"/>
              <w:bottom w:val="single" w:sz="6" w:space="0" w:color="000000"/>
              <w:right w:val="nil"/>
            </w:tcBorders>
            <w:vAlign w:val="center"/>
            <w:hideMark/>
          </w:tcPr>
          <w:p w14:paraId="7400D4D3" w14:textId="77777777" w:rsidR="009F5320" w:rsidRDefault="009F5320" w:rsidP="00350225">
            <w:pPr>
              <w:rPr>
                <w:rFonts w:ascii="Arial Narrow" w:hAnsi="Arial Narrow"/>
                <w:sz w:val="16"/>
                <w:szCs w:val="16"/>
              </w:rPr>
            </w:pPr>
            <w:r>
              <w:rPr>
                <w:rFonts w:ascii="Arial Narrow" w:hAnsi="Arial Narrow"/>
                <w:sz w:val="16"/>
                <w:szCs w:val="16"/>
              </w:rPr>
              <w:t>*</w:t>
            </w:r>
            <w:r>
              <w:rPr>
                <w:rFonts w:ascii="Arial Narrow" w:hAnsi="Arial Narrow"/>
                <w:b/>
                <w:bCs/>
                <w:sz w:val="16"/>
                <w:szCs w:val="16"/>
              </w:rPr>
              <w:t xml:space="preserve">The </w:t>
            </w:r>
            <w:proofErr w:type="spellStart"/>
            <w:r>
              <w:rPr>
                <w:rFonts w:ascii="Arial Narrow" w:hAnsi="Arial Narrow"/>
                <w:b/>
                <w:bCs/>
                <w:sz w:val="16"/>
                <w:szCs w:val="16"/>
              </w:rPr>
              <w:t>risk</w:t>
            </w:r>
            <w:proofErr w:type="spellEnd"/>
            <w:r>
              <w:rPr>
                <w:rFonts w:ascii="Arial Narrow" w:hAnsi="Arial Narrow"/>
                <w:b/>
                <w:bCs/>
                <w:sz w:val="16"/>
                <w:szCs w:val="16"/>
              </w:rPr>
              <w:t xml:space="preserve"> in </w:t>
            </w:r>
            <w:proofErr w:type="spellStart"/>
            <w:r>
              <w:rPr>
                <w:rFonts w:ascii="Arial Narrow" w:hAnsi="Arial Narrow"/>
                <w:b/>
                <w:bCs/>
                <w:sz w:val="16"/>
                <w:szCs w:val="16"/>
              </w:rPr>
              <w:t>the</w:t>
            </w:r>
            <w:proofErr w:type="spellEnd"/>
            <w:r>
              <w:rPr>
                <w:rFonts w:ascii="Arial Narrow" w:hAnsi="Arial Narrow"/>
                <w:b/>
                <w:bCs/>
                <w:sz w:val="16"/>
                <w:szCs w:val="16"/>
              </w:rPr>
              <w:t xml:space="preserve"> </w:t>
            </w:r>
            <w:proofErr w:type="spellStart"/>
            <w:r>
              <w:rPr>
                <w:rFonts w:ascii="Arial Narrow" w:hAnsi="Arial Narrow"/>
                <w:b/>
                <w:bCs/>
                <w:sz w:val="16"/>
                <w:szCs w:val="16"/>
              </w:rPr>
              <w:t>intervention</w:t>
            </w:r>
            <w:proofErr w:type="spellEnd"/>
            <w:r>
              <w:rPr>
                <w:rFonts w:ascii="Arial Narrow" w:hAnsi="Arial Narrow"/>
                <w:b/>
                <w:bCs/>
                <w:sz w:val="16"/>
                <w:szCs w:val="16"/>
              </w:rPr>
              <w:t xml:space="preserve"> </w:t>
            </w:r>
            <w:proofErr w:type="spellStart"/>
            <w:r>
              <w:rPr>
                <w:rFonts w:ascii="Arial Narrow" w:hAnsi="Arial Narrow"/>
                <w:b/>
                <w:bCs/>
                <w:sz w:val="16"/>
                <w:szCs w:val="16"/>
              </w:rPr>
              <w:t>group</w:t>
            </w:r>
            <w:proofErr w:type="spellEnd"/>
            <w:r>
              <w:rPr>
                <w:rFonts w:ascii="Arial Narrow" w:hAnsi="Arial Narrow"/>
                <w:sz w:val="16"/>
                <w:szCs w:val="16"/>
              </w:rPr>
              <w:t xml:space="preserve"> (and </w:t>
            </w:r>
            <w:proofErr w:type="spellStart"/>
            <w:r>
              <w:rPr>
                <w:rFonts w:ascii="Arial Narrow" w:hAnsi="Arial Narrow"/>
                <w:sz w:val="16"/>
                <w:szCs w:val="16"/>
              </w:rPr>
              <w:t>its</w:t>
            </w:r>
            <w:proofErr w:type="spellEnd"/>
            <w:r>
              <w:rPr>
                <w:rFonts w:ascii="Arial Narrow" w:hAnsi="Arial Narrow"/>
                <w:sz w:val="16"/>
                <w:szCs w:val="16"/>
              </w:rPr>
              <w:t xml:space="preserve"> 95% </w:t>
            </w:r>
            <w:proofErr w:type="spellStart"/>
            <w:r>
              <w:rPr>
                <w:rFonts w:ascii="Arial Narrow" w:hAnsi="Arial Narrow"/>
                <w:sz w:val="16"/>
                <w:szCs w:val="16"/>
              </w:rPr>
              <w:t>confidence</w:t>
            </w:r>
            <w:proofErr w:type="spellEnd"/>
            <w:r>
              <w:rPr>
                <w:rFonts w:ascii="Arial Narrow" w:hAnsi="Arial Narrow"/>
                <w:sz w:val="16"/>
                <w:szCs w:val="16"/>
              </w:rPr>
              <w:t xml:space="preserve"> </w:t>
            </w:r>
            <w:proofErr w:type="spellStart"/>
            <w:r>
              <w:rPr>
                <w:rFonts w:ascii="Arial Narrow" w:hAnsi="Arial Narrow"/>
                <w:sz w:val="16"/>
                <w:szCs w:val="16"/>
              </w:rPr>
              <w:t>interval</w:t>
            </w:r>
            <w:proofErr w:type="spellEnd"/>
            <w:r>
              <w:rPr>
                <w:rFonts w:ascii="Arial Narrow" w:hAnsi="Arial Narrow"/>
                <w:sz w:val="16"/>
                <w:szCs w:val="16"/>
              </w:rPr>
              <w:t xml:space="preserve">) is </w:t>
            </w:r>
            <w:proofErr w:type="spellStart"/>
            <w:r>
              <w:rPr>
                <w:rFonts w:ascii="Arial Narrow" w:hAnsi="Arial Narrow"/>
                <w:sz w:val="16"/>
                <w:szCs w:val="16"/>
              </w:rPr>
              <w:t>based</w:t>
            </w:r>
            <w:proofErr w:type="spellEnd"/>
            <w:r>
              <w:rPr>
                <w:rFonts w:ascii="Arial Narrow" w:hAnsi="Arial Narrow"/>
                <w:sz w:val="16"/>
                <w:szCs w:val="16"/>
              </w:rPr>
              <w:t xml:space="preserve"> </w:t>
            </w:r>
            <w:proofErr w:type="spellStart"/>
            <w:r>
              <w:rPr>
                <w:rFonts w:ascii="Arial Narrow" w:hAnsi="Arial Narrow"/>
                <w:sz w:val="16"/>
                <w:szCs w:val="16"/>
              </w:rPr>
              <w:t>on</w:t>
            </w:r>
            <w:proofErr w:type="spellEnd"/>
            <w:r>
              <w:rPr>
                <w:rFonts w:ascii="Arial Narrow" w:hAnsi="Arial Narrow"/>
                <w:sz w:val="16"/>
                <w:szCs w:val="16"/>
              </w:rPr>
              <w:t xml:space="preserve"> </w:t>
            </w:r>
            <w:proofErr w:type="spellStart"/>
            <w:r>
              <w:rPr>
                <w:rFonts w:ascii="Arial Narrow" w:hAnsi="Arial Narrow"/>
                <w:sz w:val="16"/>
                <w:szCs w:val="16"/>
              </w:rPr>
              <w:t>the</w:t>
            </w:r>
            <w:proofErr w:type="spellEnd"/>
            <w:r>
              <w:rPr>
                <w:rFonts w:ascii="Arial Narrow" w:hAnsi="Arial Narrow"/>
                <w:sz w:val="16"/>
                <w:szCs w:val="16"/>
              </w:rPr>
              <w:t xml:space="preserve"> </w:t>
            </w:r>
            <w:proofErr w:type="spellStart"/>
            <w:r>
              <w:rPr>
                <w:rFonts w:ascii="Arial Narrow" w:hAnsi="Arial Narrow"/>
                <w:sz w:val="16"/>
                <w:szCs w:val="16"/>
              </w:rPr>
              <w:t>assumed</w:t>
            </w:r>
            <w:proofErr w:type="spellEnd"/>
            <w:r>
              <w:rPr>
                <w:rFonts w:ascii="Arial Narrow" w:hAnsi="Arial Narrow"/>
                <w:sz w:val="16"/>
                <w:szCs w:val="16"/>
              </w:rPr>
              <w:t xml:space="preserve"> </w:t>
            </w:r>
            <w:proofErr w:type="spellStart"/>
            <w:r>
              <w:rPr>
                <w:rFonts w:ascii="Arial Narrow" w:hAnsi="Arial Narrow"/>
                <w:sz w:val="16"/>
                <w:szCs w:val="16"/>
              </w:rPr>
              <w:t>risk</w:t>
            </w:r>
            <w:proofErr w:type="spellEnd"/>
            <w:r>
              <w:rPr>
                <w:rFonts w:ascii="Arial Narrow" w:hAnsi="Arial Narrow"/>
                <w:sz w:val="16"/>
                <w:szCs w:val="16"/>
              </w:rPr>
              <w:t xml:space="preserve"> in </w:t>
            </w:r>
            <w:proofErr w:type="spellStart"/>
            <w:r>
              <w:rPr>
                <w:rFonts w:ascii="Arial Narrow" w:hAnsi="Arial Narrow"/>
                <w:sz w:val="16"/>
                <w:szCs w:val="16"/>
              </w:rPr>
              <w:t>the</w:t>
            </w:r>
            <w:proofErr w:type="spellEnd"/>
            <w:r>
              <w:rPr>
                <w:rFonts w:ascii="Arial Narrow" w:hAnsi="Arial Narrow"/>
                <w:sz w:val="16"/>
                <w:szCs w:val="16"/>
              </w:rPr>
              <w:t xml:space="preserve"> </w:t>
            </w:r>
            <w:proofErr w:type="spellStart"/>
            <w:r>
              <w:rPr>
                <w:rFonts w:ascii="Arial Narrow" w:hAnsi="Arial Narrow"/>
                <w:sz w:val="16"/>
                <w:szCs w:val="16"/>
              </w:rPr>
              <w:t>comparison</w:t>
            </w:r>
            <w:proofErr w:type="spellEnd"/>
            <w:r>
              <w:rPr>
                <w:rFonts w:ascii="Arial Narrow" w:hAnsi="Arial Narrow"/>
                <w:sz w:val="16"/>
                <w:szCs w:val="16"/>
              </w:rPr>
              <w:t xml:space="preserve"> </w:t>
            </w:r>
            <w:proofErr w:type="spellStart"/>
            <w:r>
              <w:rPr>
                <w:rFonts w:ascii="Arial Narrow" w:hAnsi="Arial Narrow"/>
                <w:sz w:val="16"/>
                <w:szCs w:val="16"/>
              </w:rPr>
              <w:t>group</w:t>
            </w:r>
            <w:proofErr w:type="spellEnd"/>
            <w:r>
              <w:rPr>
                <w:rFonts w:ascii="Arial Narrow" w:hAnsi="Arial Narrow"/>
                <w:sz w:val="16"/>
                <w:szCs w:val="16"/>
              </w:rPr>
              <w:t xml:space="preserve"> and </w:t>
            </w:r>
            <w:proofErr w:type="spellStart"/>
            <w:r>
              <w:rPr>
                <w:rFonts w:ascii="Arial Narrow" w:hAnsi="Arial Narrow"/>
                <w:sz w:val="16"/>
                <w:szCs w:val="16"/>
              </w:rPr>
              <w:t>the</w:t>
            </w:r>
            <w:proofErr w:type="spellEnd"/>
            <w:r>
              <w:rPr>
                <w:rFonts w:ascii="Arial Narrow" w:hAnsi="Arial Narrow"/>
                <w:sz w:val="16"/>
                <w:szCs w:val="16"/>
              </w:rPr>
              <w:t xml:space="preserve"> </w:t>
            </w:r>
            <w:proofErr w:type="spellStart"/>
            <w:r>
              <w:rPr>
                <w:rFonts w:ascii="Arial Narrow" w:hAnsi="Arial Narrow"/>
                <w:b/>
                <w:bCs/>
                <w:sz w:val="16"/>
                <w:szCs w:val="16"/>
              </w:rPr>
              <w:t>relative</w:t>
            </w:r>
            <w:proofErr w:type="spellEnd"/>
            <w:r>
              <w:rPr>
                <w:rFonts w:ascii="Arial Narrow" w:hAnsi="Arial Narrow"/>
                <w:b/>
                <w:bCs/>
                <w:sz w:val="16"/>
                <w:szCs w:val="16"/>
              </w:rPr>
              <w:t xml:space="preserve"> </w:t>
            </w:r>
            <w:proofErr w:type="spellStart"/>
            <w:r>
              <w:rPr>
                <w:rFonts w:ascii="Arial Narrow" w:hAnsi="Arial Narrow"/>
                <w:b/>
                <w:bCs/>
                <w:sz w:val="16"/>
                <w:szCs w:val="16"/>
              </w:rPr>
              <w:t>effect</w:t>
            </w:r>
            <w:proofErr w:type="spellEnd"/>
            <w:r>
              <w:rPr>
                <w:rFonts w:ascii="Arial Narrow" w:hAnsi="Arial Narrow"/>
                <w:sz w:val="16"/>
                <w:szCs w:val="16"/>
              </w:rPr>
              <w:t xml:space="preserve"> of </w:t>
            </w:r>
            <w:proofErr w:type="spellStart"/>
            <w:r>
              <w:rPr>
                <w:rFonts w:ascii="Arial Narrow" w:hAnsi="Arial Narrow"/>
                <w:sz w:val="16"/>
                <w:szCs w:val="16"/>
              </w:rPr>
              <w:t>the</w:t>
            </w:r>
            <w:proofErr w:type="spellEnd"/>
            <w:r>
              <w:rPr>
                <w:rFonts w:ascii="Arial Narrow" w:hAnsi="Arial Narrow"/>
                <w:sz w:val="16"/>
                <w:szCs w:val="16"/>
              </w:rPr>
              <w:t xml:space="preserve"> </w:t>
            </w:r>
            <w:proofErr w:type="spellStart"/>
            <w:r>
              <w:rPr>
                <w:rFonts w:ascii="Arial Narrow" w:hAnsi="Arial Narrow"/>
                <w:sz w:val="16"/>
                <w:szCs w:val="16"/>
              </w:rPr>
              <w:t>intervention</w:t>
            </w:r>
            <w:proofErr w:type="spellEnd"/>
            <w:r>
              <w:rPr>
                <w:rFonts w:ascii="Arial Narrow" w:hAnsi="Arial Narrow"/>
                <w:sz w:val="16"/>
                <w:szCs w:val="16"/>
              </w:rPr>
              <w:t xml:space="preserve"> (and </w:t>
            </w:r>
            <w:proofErr w:type="spellStart"/>
            <w:r>
              <w:rPr>
                <w:rFonts w:ascii="Arial Narrow" w:hAnsi="Arial Narrow"/>
                <w:sz w:val="16"/>
                <w:szCs w:val="16"/>
              </w:rPr>
              <w:t>its</w:t>
            </w:r>
            <w:proofErr w:type="spellEnd"/>
            <w:r>
              <w:rPr>
                <w:rFonts w:ascii="Arial Narrow" w:hAnsi="Arial Narrow"/>
                <w:sz w:val="16"/>
                <w:szCs w:val="16"/>
              </w:rPr>
              <w:t xml:space="preserve"> 95% CI).</w:t>
            </w:r>
            <w:r>
              <w:rPr>
                <w:rFonts w:ascii="Arial Narrow" w:hAnsi="Arial Narrow"/>
                <w:sz w:val="16"/>
                <w:szCs w:val="16"/>
              </w:rPr>
              <w:br/>
            </w:r>
            <w:r>
              <w:rPr>
                <w:rFonts w:ascii="Arial Narrow" w:hAnsi="Arial Narrow"/>
                <w:sz w:val="16"/>
                <w:szCs w:val="16"/>
              </w:rPr>
              <w:br/>
            </w:r>
            <w:r>
              <w:rPr>
                <w:rFonts w:ascii="Arial Narrow" w:hAnsi="Arial Narrow"/>
                <w:b/>
                <w:bCs/>
                <w:sz w:val="16"/>
                <w:szCs w:val="16"/>
              </w:rPr>
              <w:t>CI:</w:t>
            </w:r>
            <w:r>
              <w:rPr>
                <w:rFonts w:ascii="Arial Narrow" w:hAnsi="Arial Narrow"/>
                <w:sz w:val="16"/>
                <w:szCs w:val="16"/>
              </w:rPr>
              <w:t xml:space="preserve"> </w:t>
            </w:r>
            <w:proofErr w:type="spellStart"/>
            <w:r>
              <w:rPr>
                <w:rFonts w:ascii="Arial Narrow" w:hAnsi="Arial Narrow"/>
                <w:sz w:val="16"/>
                <w:szCs w:val="16"/>
              </w:rPr>
              <w:t>confidence</w:t>
            </w:r>
            <w:proofErr w:type="spellEnd"/>
            <w:r>
              <w:rPr>
                <w:rFonts w:ascii="Arial Narrow" w:hAnsi="Arial Narrow"/>
                <w:sz w:val="16"/>
                <w:szCs w:val="16"/>
              </w:rPr>
              <w:t xml:space="preserve"> </w:t>
            </w:r>
            <w:proofErr w:type="spellStart"/>
            <w:r>
              <w:rPr>
                <w:rFonts w:ascii="Arial Narrow" w:hAnsi="Arial Narrow"/>
                <w:sz w:val="16"/>
                <w:szCs w:val="16"/>
              </w:rPr>
              <w:t>interval</w:t>
            </w:r>
            <w:proofErr w:type="spellEnd"/>
            <w:r>
              <w:rPr>
                <w:rFonts w:ascii="Arial Narrow" w:hAnsi="Arial Narrow"/>
                <w:sz w:val="16"/>
                <w:szCs w:val="16"/>
              </w:rPr>
              <w:t xml:space="preserve">; </w:t>
            </w:r>
            <w:r>
              <w:rPr>
                <w:rFonts w:ascii="Arial Narrow" w:hAnsi="Arial Narrow"/>
                <w:b/>
                <w:bCs/>
                <w:sz w:val="16"/>
                <w:szCs w:val="16"/>
              </w:rPr>
              <w:t>MD:</w:t>
            </w:r>
            <w:r>
              <w:rPr>
                <w:rFonts w:ascii="Arial Narrow" w:hAnsi="Arial Narrow"/>
                <w:sz w:val="16"/>
                <w:szCs w:val="16"/>
              </w:rPr>
              <w:t xml:space="preserve"> </w:t>
            </w:r>
            <w:proofErr w:type="spellStart"/>
            <w:r>
              <w:rPr>
                <w:rFonts w:ascii="Arial Narrow" w:hAnsi="Arial Narrow"/>
                <w:sz w:val="16"/>
                <w:szCs w:val="16"/>
              </w:rPr>
              <w:t>mean</w:t>
            </w:r>
            <w:proofErr w:type="spellEnd"/>
            <w:r>
              <w:rPr>
                <w:rFonts w:ascii="Arial Narrow" w:hAnsi="Arial Narrow"/>
                <w:sz w:val="16"/>
                <w:szCs w:val="16"/>
              </w:rPr>
              <w:t xml:space="preserve"> </w:t>
            </w:r>
            <w:proofErr w:type="spellStart"/>
            <w:r>
              <w:rPr>
                <w:rFonts w:ascii="Arial Narrow" w:hAnsi="Arial Narrow"/>
                <w:sz w:val="16"/>
                <w:szCs w:val="16"/>
              </w:rPr>
              <w:t>difference</w:t>
            </w:r>
            <w:proofErr w:type="spellEnd"/>
            <w:r>
              <w:rPr>
                <w:rFonts w:ascii="Arial Narrow" w:hAnsi="Arial Narrow"/>
                <w:sz w:val="16"/>
                <w:szCs w:val="16"/>
              </w:rPr>
              <w:t xml:space="preserve">; </w:t>
            </w:r>
            <w:r>
              <w:rPr>
                <w:rFonts w:ascii="Arial Narrow" w:hAnsi="Arial Narrow"/>
                <w:b/>
                <w:bCs/>
                <w:sz w:val="16"/>
                <w:szCs w:val="16"/>
              </w:rPr>
              <w:t>RR:</w:t>
            </w:r>
            <w:r>
              <w:rPr>
                <w:rFonts w:ascii="Arial Narrow" w:hAnsi="Arial Narrow"/>
                <w:sz w:val="16"/>
                <w:szCs w:val="16"/>
              </w:rPr>
              <w:t xml:space="preserve"> </w:t>
            </w:r>
            <w:proofErr w:type="spellStart"/>
            <w:r>
              <w:rPr>
                <w:rFonts w:ascii="Arial Narrow" w:hAnsi="Arial Narrow"/>
                <w:sz w:val="16"/>
                <w:szCs w:val="16"/>
              </w:rPr>
              <w:t>risk</w:t>
            </w:r>
            <w:proofErr w:type="spellEnd"/>
            <w:r>
              <w:rPr>
                <w:rFonts w:ascii="Arial Narrow" w:hAnsi="Arial Narrow"/>
                <w:sz w:val="16"/>
                <w:szCs w:val="16"/>
              </w:rPr>
              <w:t xml:space="preserve"> ratio</w:t>
            </w:r>
          </w:p>
        </w:tc>
      </w:tr>
      <w:tr w:rsidR="009F5320" w14:paraId="05ECBF98" w14:textId="77777777" w:rsidTr="00350225">
        <w:trPr>
          <w:cantSplit/>
        </w:trPr>
        <w:tc>
          <w:tcPr>
            <w:tcW w:w="5000" w:type="pct"/>
            <w:gridSpan w:val="7"/>
            <w:tcBorders>
              <w:top w:val="single" w:sz="6" w:space="0" w:color="000000"/>
              <w:left w:val="nil"/>
              <w:bottom w:val="single" w:sz="6" w:space="0" w:color="000000"/>
              <w:right w:val="nil"/>
            </w:tcBorders>
            <w:vAlign w:val="center"/>
            <w:hideMark/>
          </w:tcPr>
          <w:p w14:paraId="73866565" w14:textId="77777777" w:rsidR="009F5320" w:rsidRDefault="009F5320" w:rsidP="009F5320">
            <w:pPr>
              <w:rPr>
                <w:rFonts w:ascii="Arial Narrow" w:hAnsi="Arial Narrow"/>
                <w:sz w:val="16"/>
                <w:szCs w:val="16"/>
              </w:rPr>
            </w:pPr>
            <w:r>
              <w:rPr>
                <w:rFonts w:ascii="Arial Narrow" w:hAnsi="Arial Narrow"/>
                <w:b/>
                <w:bCs/>
                <w:sz w:val="16"/>
                <w:szCs w:val="16"/>
              </w:rPr>
              <w:lastRenderedPageBreak/>
              <w:t xml:space="preserve">GRADE </w:t>
            </w:r>
            <w:proofErr w:type="spellStart"/>
            <w:r>
              <w:rPr>
                <w:rFonts w:ascii="Arial Narrow" w:hAnsi="Arial Narrow"/>
                <w:b/>
                <w:bCs/>
                <w:sz w:val="16"/>
                <w:szCs w:val="16"/>
              </w:rPr>
              <w:t>Working</w:t>
            </w:r>
            <w:proofErr w:type="spellEnd"/>
            <w:r>
              <w:rPr>
                <w:rFonts w:ascii="Arial Narrow" w:hAnsi="Arial Narrow"/>
                <w:b/>
                <w:bCs/>
                <w:sz w:val="16"/>
                <w:szCs w:val="16"/>
              </w:rPr>
              <w:t xml:space="preserve"> Group </w:t>
            </w:r>
            <w:proofErr w:type="spellStart"/>
            <w:r>
              <w:rPr>
                <w:rFonts w:ascii="Arial Narrow" w:hAnsi="Arial Narrow"/>
                <w:b/>
                <w:bCs/>
                <w:sz w:val="16"/>
                <w:szCs w:val="16"/>
              </w:rPr>
              <w:t>grades</w:t>
            </w:r>
            <w:proofErr w:type="spellEnd"/>
            <w:r>
              <w:rPr>
                <w:rFonts w:ascii="Arial Narrow" w:hAnsi="Arial Narrow"/>
                <w:b/>
                <w:bCs/>
                <w:sz w:val="16"/>
                <w:szCs w:val="16"/>
              </w:rPr>
              <w:t xml:space="preserve"> of </w:t>
            </w:r>
            <w:proofErr w:type="spellStart"/>
            <w:r>
              <w:rPr>
                <w:rFonts w:ascii="Arial Narrow" w:hAnsi="Arial Narrow"/>
                <w:b/>
                <w:bCs/>
                <w:sz w:val="16"/>
                <w:szCs w:val="16"/>
              </w:rPr>
              <w:t>evidence</w:t>
            </w:r>
            <w:proofErr w:type="spellEnd"/>
            <w:r>
              <w:rPr>
                <w:rFonts w:ascii="Arial Narrow" w:hAnsi="Arial Narrow"/>
                <w:sz w:val="16"/>
                <w:szCs w:val="16"/>
              </w:rPr>
              <w:br/>
            </w:r>
            <w:proofErr w:type="spellStart"/>
            <w:r>
              <w:rPr>
                <w:rFonts w:ascii="Arial Narrow" w:hAnsi="Arial Narrow"/>
                <w:b/>
                <w:bCs/>
                <w:sz w:val="16"/>
                <w:szCs w:val="16"/>
              </w:rPr>
              <w:t>High</w:t>
            </w:r>
            <w:proofErr w:type="spellEnd"/>
            <w:r>
              <w:rPr>
                <w:rFonts w:ascii="Arial Narrow" w:hAnsi="Arial Narrow"/>
                <w:b/>
                <w:bCs/>
                <w:sz w:val="16"/>
                <w:szCs w:val="16"/>
              </w:rPr>
              <w:t xml:space="preserve"> </w:t>
            </w:r>
            <w:proofErr w:type="spellStart"/>
            <w:r>
              <w:rPr>
                <w:rFonts w:ascii="Arial Narrow" w:hAnsi="Arial Narrow"/>
                <w:b/>
                <w:bCs/>
                <w:sz w:val="16"/>
                <w:szCs w:val="16"/>
              </w:rPr>
              <w:t>certainty</w:t>
            </w:r>
            <w:proofErr w:type="spellEnd"/>
            <w:r>
              <w:rPr>
                <w:rFonts w:ascii="Arial Narrow" w:hAnsi="Arial Narrow"/>
                <w:b/>
                <w:bCs/>
                <w:sz w:val="16"/>
                <w:szCs w:val="16"/>
              </w:rPr>
              <w:t>:</w:t>
            </w:r>
            <w:r>
              <w:rPr>
                <w:rFonts w:ascii="Arial Narrow" w:hAnsi="Arial Narrow"/>
                <w:sz w:val="16"/>
                <w:szCs w:val="16"/>
              </w:rPr>
              <w:t xml:space="preserve"> </w:t>
            </w:r>
            <w:proofErr w:type="spellStart"/>
            <w:r>
              <w:rPr>
                <w:rFonts w:ascii="Arial Narrow" w:hAnsi="Arial Narrow"/>
                <w:sz w:val="16"/>
                <w:szCs w:val="16"/>
              </w:rPr>
              <w:t>we</w:t>
            </w:r>
            <w:proofErr w:type="spellEnd"/>
            <w:r>
              <w:rPr>
                <w:rFonts w:ascii="Arial Narrow" w:hAnsi="Arial Narrow"/>
                <w:sz w:val="16"/>
                <w:szCs w:val="16"/>
              </w:rPr>
              <w:t xml:space="preserve"> </w:t>
            </w:r>
            <w:proofErr w:type="spellStart"/>
            <w:r>
              <w:rPr>
                <w:rFonts w:ascii="Arial Narrow" w:hAnsi="Arial Narrow"/>
                <w:sz w:val="16"/>
                <w:szCs w:val="16"/>
              </w:rPr>
              <w:t>are</w:t>
            </w:r>
            <w:proofErr w:type="spellEnd"/>
            <w:r>
              <w:rPr>
                <w:rFonts w:ascii="Arial Narrow" w:hAnsi="Arial Narrow"/>
                <w:sz w:val="16"/>
                <w:szCs w:val="16"/>
              </w:rPr>
              <w:t xml:space="preserve"> </w:t>
            </w:r>
            <w:proofErr w:type="spellStart"/>
            <w:r>
              <w:rPr>
                <w:rFonts w:ascii="Arial Narrow" w:hAnsi="Arial Narrow"/>
                <w:sz w:val="16"/>
                <w:szCs w:val="16"/>
              </w:rPr>
              <w:t>very</w:t>
            </w:r>
            <w:proofErr w:type="spellEnd"/>
            <w:r>
              <w:rPr>
                <w:rFonts w:ascii="Arial Narrow" w:hAnsi="Arial Narrow"/>
                <w:sz w:val="16"/>
                <w:szCs w:val="16"/>
              </w:rPr>
              <w:t xml:space="preserve"> </w:t>
            </w:r>
            <w:proofErr w:type="spellStart"/>
            <w:r>
              <w:rPr>
                <w:rFonts w:ascii="Arial Narrow" w:hAnsi="Arial Narrow"/>
                <w:sz w:val="16"/>
                <w:szCs w:val="16"/>
              </w:rPr>
              <w:t>confident</w:t>
            </w:r>
            <w:proofErr w:type="spellEnd"/>
            <w:r>
              <w:rPr>
                <w:rFonts w:ascii="Arial Narrow" w:hAnsi="Arial Narrow"/>
                <w:sz w:val="16"/>
                <w:szCs w:val="16"/>
              </w:rPr>
              <w:t xml:space="preserve"> </w:t>
            </w:r>
            <w:proofErr w:type="spellStart"/>
            <w:r>
              <w:rPr>
                <w:rFonts w:ascii="Arial Narrow" w:hAnsi="Arial Narrow"/>
                <w:sz w:val="16"/>
                <w:szCs w:val="16"/>
              </w:rPr>
              <w:t>that</w:t>
            </w:r>
            <w:proofErr w:type="spellEnd"/>
            <w:r>
              <w:rPr>
                <w:rFonts w:ascii="Arial Narrow" w:hAnsi="Arial Narrow"/>
                <w:sz w:val="16"/>
                <w:szCs w:val="16"/>
              </w:rPr>
              <w:t xml:space="preserve"> </w:t>
            </w:r>
            <w:proofErr w:type="spellStart"/>
            <w:r>
              <w:rPr>
                <w:rFonts w:ascii="Arial Narrow" w:hAnsi="Arial Narrow"/>
                <w:sz w:val="16"/>
                <w:szCs w:val="16"/>
              </w:rPr>
              <w:t>the</w:t>
            </w:r>
            <w:proofErr w:type="spellEnd"/>
            <w:r>
              <w:rPr>
                <w:rFonts w:ascii="Arial Narrow" w:hAnsi="Arial Narrow"/>
                <w:sz w:val="16"/>
                <w:szCs w:val="16"/>
              </w:rPr>
              <w:t xml:space="preserve"> </w:t>
            </w:r>
            <w:proofErr w:type="spellStart"/>
            <w:r>
              <w:rPr>
                <w:rFonts w:ascii="Arial Narrow" w:hAnsi="Arial Narrow"/>
                <w:sz w:val="16"/>
                <w:szCs w:val="16"/>
              </w:rPr>
              <w:t>true</w:t>
            </w:r>
            <w:proofErr w:type="spellEnd"/>
            <w:r>
              <w:rPr>
                <w:rFonts w:ascii="Arial Narrow" w:hAnsi="Arial Narrow"/>
                <w:sz w:val="16"/>
                <w:szCs w:val="16"/>
              </w:rPr>
              <w:t xml:space="preserve"> </w:t>
            </w:r>
            <w:proofErr w:type="spellStart"/>
            <w:r>
              <w:rPr>
                <w:rFonts w:ascii="Arial Narrow" w:hAnsi="Arial Narrow"/>
                <w:sz w:val="16"/>
                <w:szCs w:val="16"/>
              </w:rPr>
              <w:t>effect</w:t>
            </w:r>
            <w:proofErr w:type="spellEnd"/>
            <w:r>
              <w:rPr>
                <w:rFonts w:ascii="Arial Narrow" w:hAnsi="Arial Narrow"/>
                <w:sz w:val="16"/>
                <w:szCs w:val="16"/>
              </w:rPr>
              <w:t xml:space="preserve"> </w:t>
            </w:r>
            <w:proofErr w:type="spellStart"/>
            <w:r>
              <w:rPr>
                <w:rFonts w:ascii="Arial Narrow" w:hAnsi="Arial Narrow"/>
                <w:sz w:val="16"/>
                <w:szCs w:val="16"/>
              </w:rPr>
              <w:t>lies</w:t>
            </w:r>
            <w:proofErr w:type="spellEnd"/>
            <w:r>
              <w:rPr>
                <w:rFonts w:ascii="Arial Narrow" w:hAnsi="Arial Narrow"/>
                <w:sz w:val="16"/>
                <w:szCs w:val="16"/>
              </w:rPr>
              <w:t xml:space="preserve"> </w:t>
            </w:r>
            <w:proofErr w:type="spellStart"/>
            <w:r>
              <w:rPr>
                <w:rFonts w:ascii="Arial Narrow" w:hAnsi="Arial Narrow"/>
                <w:sz w:val="16"/>
                <w:szCs w:val="16"/>
              </w:rPr>
              <w:t>close</w:t>
            </w:r>
            <w:proofErr w:type="spellEnd"/>
            <w:r>
              <w:rPr>
                <w:rFonts w:ascii="Arial Narrow" w:hAnsi="Arial Narrow"/>
                <w:sz w:val="16"/>
                <w:szCs w:val="16"/>
              </w:rPr>
              <w:t xml:space="preserve"> </w:t>
            </w:r>
            <w:proofErr w:type="spellStart"/>
            <w:r>
              <w:rPr>
                <w:rFonts w:ascii="Arial Narrow" w:hAnsi="Arial Narrow"/>
                <w:sz w:val="16"/>
                <w:szCs w:val="16"/>
              </w:rPr>
              <w:t>to</w:t>
            </w:r>
            <w:proofErr w:type="spellEnd"/>
            <w:r>
              <w:rPr>
                <w:rFonts w:ascii="Arial Narrow" w:hAnsi="Arial Narrow"/>
                <w:sz w:val="16"/>
                <w:szCs w:val="16"/>
              </w:rPr>
              <w:t xml:space="preserve"> </w:t>
            </w:r>
            <w:proofErr w:type="spellStart"/>
            <w:r>
              <w:rPr>
                <w:rFonts w:ascii="Arial Narrow" w:hAnsi="Arial Narrow"/>
                <w:sz w:val="16"/>
                <w:szCs w:val="16"/>
              </w:rPr>
              <w:t>that</w:t>
            </w:r>
            <w:proofErr w:type="spellEnd"/>
            <w:r>
              <w:rPr>
                <w:rFonts w:ascii="Arial Narrow" w:hAnsi="Arial Narrow"/>
                <w:sz w:val="16"/>
                <w:szCs w:val="16"/>
              </w:rPr>
              <w:t xml:space="preserve"> of </w:t>
            </w:r>
            <w:proofErr w:type="spellStart"/>
            <w:r>
              <w:rPr>
                <w:rFonts w:ascii="Arial Narrow" w:hAnsi="Arial Narrow"/>
                <w:sz w:val="16"/>
                <w:szCs w:val="16"/>
              </w:rPr>
              <w:t>the</w:t>
            </w:r>
            <w:proofErr w:type="spellEnd"/>
            <w:r>
              <w:rPr>
                <w:rFonts w:ascii="Arial Narrow" w:hAnsi="Arial Narrow"/>
                <w:sz w:val="16"/>
                <w:szCs w:val="16"/>
              </w:rPr>
              <w:t xml:space="preserve"> </w:t>
            </w:r>
            <w:proofErr w:type="spellStart"/>
            <w:r>
              <w:rPr>
                <w:rFonts w:ascii="Arial Narrow" w:hAnsi="Arial Narrow"/>
                <w:sz w:val="16"/>
                <w:szCs w:val="16"/>
              </w:rPr>
              <w:t>estimate</w:t>
            </w:r>
            <w:proofErr w:type="spellEnd"/>
            <w:r>
              <w:rPr>
                <w:rFonts w:ascii="Arial Narrow" w:hAnsi="Arial Narrow"/>
                <w:sz w:val="16"/>
                <w:szCs w:val="16"/>
              </w:rPr>
              <w:t xml:space="preserve"> of </w:t>
            </w:r>
            <w:proofErr w:type="spellStart"/>
            <w:r>
              <w:rPr>
                <w:rFonts w:ascii="Arial Narrow" w:hAnsi="Arial Narrow"/>
                <w:sz w:val="16"/>
                <w:szCs w:val="16"/>
              </w:rPr>
              <w:t>the</w:t>
            </w:r>
            <w:proofErr w:type="spellEnd"/>
            <w:r>
              <w:rPr>
                <w:rFonts w:ascii="Arial Narrow" w:hAnsi="Arial Narrow"/>
                <w:sz w:val="16"/>
                <w:szCs w:val="16"/>
              </w:rPr>
              <w:t xml:space="preserve"> </w:t>
            </w:r>
            <w:proofErr w:type="spellStart"/>
            <w:r>
              <w:rPr>
                <w:rFonts w:ascii="Arial Narrow" w:hAnsi="Arial Narrow"/>
                <w:sz w:val="16"/>
                <w:szCs w:val="16"/>
              </w:rPr>
              <w:t>effect</w:t>
            </w:r>
            <w:proofErr w:type="spellEnd"/>
            <w:r>
              <w:rPr>
                <w:rFonts w:ascii="Arial Narrow" w:hAnsi="Arial Narrow"/>
                <w:sz w:val="16"/>
                <w:szCs w:val="16"/>
              </w:rPr>
              <w:t>.</w:t>
            </w:r>
            <w:r>
              <w:rPr>
                <w:rFonts w:ascii="Arial Narrow" w:hAnsi="Arial Narrow"/>
                <w:sz w:val="16"/>
                <w:szCs w:val="16"/>
              </w:rPr>
              <w:br/>
            </w:r>
            <w:proofErr w:type="spellStart"/>
            <w:r>
              <w:rPr>
                <w:rFonts w:ascii="Arial Narrow" w:hAnsi="Arial Narrow"/>
                <w:b/>
                <w:bCs/>
                <w:sz w:val="16"/>
                <w:szCs w:val="16"/>
              </w:rPr>
              <w:t>Moderate</w:t>
            </w:r>
            <w:proofErr w:type="spellEnd"/>
            <w:r>
              <w:rPr>
                <w:rFonts w:ascii="Arial Narrow" w:hAnsi="Arial Narrow"/>
                <w:b/>
                <w:bCs/>
                <w:sz w:val="16"/>
                <w:szCs w:val="16"/>
              </w:rPr>
              <w:t xml:space="preserve"> </w:t>
            </w:r>
            <w:proofErr w:type="spellStart"/>
            <w:r>
              <w:rPr>
                <w:rFonts w:ascii="Arial Narrow" w:hAnsi="Arial Narrow"/>
                <w:b/>
                <w:bCs/>
                <w:sz w:val="16"/>
                <w:szCs w:val="16"/>
              </w:rPr>
              <w:t>certainty</w:t>
            </w:r>
            <w:proofErr w:type="spellEnd"/>
            <w:r>
              <w:rPr>
                <w:rFonts w:ascii="Arial Narrow" w:hAnsi="Arial Narrow"/>
                <w:b/>
                <w:bCs/>
                <w:sz w:val="16"/>
                <w:szCs w:val="16"/>
              </w:rPr>
              <w:t>:</w:t>
            </w:r>
            <w:r>
              <w:rPr>
                <w:rFonts w:ascii="Arial Narrow" w:hAnsi="Arial Narrow"/>
                <w:sz w:val="16"/>
                <w:szCs w:val="16"/>
              </w:rPr>
              <w:t xml:space="preserve"> </w:t>
            </w:r>
            <w:proofErr w:type="spellStart"/>
            <w:r>
              <w:rPr>
                <w:rFonts w:ascii="Arial Narrow" w:hAnsi="Arial Narrow"/>
                <w:sz w:val="16"/>
                <w:szCs w:val="16"/>
              </w:rPr>
              <w:t>we</w:t>
            </w:r>
            <w:proofErr w:type="spellEnd"/>
            <w:r>
              <w:rPr>
                <w:rFonts w:ascii="Arial Narrow" w:hAnsi="Arial Narrow"/>
                <w:sz w:val="16"/>
                <w:szCs w:val="16"/>
              </w:rPr>
              <w:t xml:space="preserve"> </w:t>
            </w:r>
            <w:proofErr w:type="spellStart"/>
            <w:r>
              <w:rPr>
                <w:rFonts w:ascii="Arial Narrow" w:hAnsi="Arial Narrow"/>
                <w:sz w:val="16"/>
                <w:szCs w:val="16"/>
              </w:rPr>
              <w:t>are</w:t>
            </w:r>
            <w:proofErr w:type="spellEnd"/>
            <w:r>
              <w:rPr>
                <w:rFonts w:ascii="Arial Narrow" w:hAnsi="Arial Narrow"/>
                <w:sz w:val="16"/>
                <w:szCs w:val="16"/>
              </w:rPr>
              <w:t xml:space="preserve"> </w:t>
            </w:r>
            <w:proofErr w:type="spellStart"/>
            <w:r>
              <w:rPr>
                <w:rFonts w:ascii="Arial Narrow" w:hAnsi="Arial Narrow"/>
                <w:sz w:val="16"/>
                <w:szCs w:val="16"/>
              </w:rPr>
              <w:t>moderately</w:t>
            </w:r>
            <w:proofErr w:type="spellEnd"/>
            <w:r>
              <w:rPr>
                <w:rFonts w:ascii="Arial Narrow" w:hAnsi="Arial Narrow"/>
                <w:sz w:val="16"/>
                <w:szCs w:val="16"/>
              </w:rPr>
              <w:t xml:space="preserve"> </w:t>
            </w:r>
            <w:proofErr w:type="spellStart"/>
            <w:r>
              <w:rPr>
                <w:rFonts w:ascii="Arial Narrow" w:hAnsi="Arial Narrow"/>
                <w:sz w:val="16"/>
                <w:szCs w:val="16"/>
              </w:rPr>
              <w:t>confident</w:t>
            </w:r>
            <w:proofErr w:type="spellEnd"/>
            <w:r>
              <w:rPr>
                <w:rFonts w:ascii="Arial Narrow" w:hAnsi="Arial Narrow"/>
                <w:sz w:val="16"/>
                <w:szCs w:val="16"/>
              </w:rPr>
              <w:t xml:space="preserve"> in </w:t>
            </w:r>
            <w:proofErr w:type="spellStart"/>
            <w:r>
              <w:rPr>
                <w:rFonts w:ascii="Arial Narrow" w:hAnsi="Arial Narrow"/>
                <w:sz w:val="16"/>
                <w:szCs w:val="16"/>
              </w:rPr>
              <w:t>the</w:t>
            </w:r>
            <w:proofErr w:type="spellEnd"/>
            <w:r>
              <w:rPr>
                <w:rFonts w:ascii="Arial Narrow" w:hAnsi="Arial Narrow"/>
                <w:sz w:val="16"/>
                <w:szCs w:val="16"/>
              </w:rPr>
              <w:t xml:space="preserve"> </w:t>
            </w:r>
            <w:proofErr w:type="spellStart"/>
            <w:r>
              <w:rPr>
                <w:rFonts w:ascii="Arial Narrow" w:hAnsi="Arial Narrow"/>
                <w:sz w:val="16"/>
                <w:szCs w:val="16"/>
              </w:rPr>
              <w:t>effect</w:t>
            </w:r>
            <w:proofErr w:type="spellEnd"/>
            <w:r>
              <w:rPr>
                <w:rFonts w:ascii="Arial Narrow" w:hAnsi="Arial Narrow"/>
                <w:sz w:val="16"/>
                <w:szCs w:val="16"/>
              </w:rPr>
              <w:t xml:space="preserve"> </w:t>
            </w:r>
            <w:proofErr w:type="spellStart"/>
            <w:r>
              <w:rPr>
                <w:rFonts w:ascii="Arial Narrow" w:hAnsi="Arial Narrow"/>
                <w:sz w:val="16"/>
                <w:szCs w:val="16"/>
              </w:rPr>
              <w:t>estimate</w:t>
            </w:r>
            <w:proofErr w:type="spellEnd"/>
            <w:r>
              <w:rPr>
                <w:rFonts w:ascii="Arial Narrow" w:hAnsi="Arial Narrow"/>
                <w:sz w:val="16"/>
                <w:szCs w:val="16"/>
              </w:rPr>
              <w:t xml:space="preserve">: </w:t>
            </w:r>
            <w:proofErr w:type="spellStart"/>
            <w:r>
              <w:rPr>
                <w:rFonts w:ascii="Arial Narrow" w:hAnsi="Arial Narrow"/>
                <w:sz w:val="16"/>
                <w:szCs w:val="16"/>
              </w:rPr>
              <w:t>the</w:t>
            </w:r>
            <w:proofErr w:type="spellEnd"/>
            <w:r>
              <w:rPr>
                <w:rFonts w:ascii="Arial Narrow" w:hAnsi="Arial Narrow"/>
                <w:sz w:val="16"/>
                <w:szCs w:val="16"/>
              </w:rPr>
              <w:t xml:space="preserve"> </w:t>
            </w:r>
            <w:proofErr w:type="spellStart"/>
            <w:r>
              <w:rPr>
                <w:rFonts w:ascii="Arial Narrow" w:hAnsi="Arial Narrow"/>
                <w:sz w:val="16"/>
                <w:szCs w:val="16"/>
              </w:rPr>
              <w:t>true</w:t>
            </w:r>
            <w:proofErr w:type="spellEnd"/>
            <w:r>
              <w:rPr>
                <w:rFonts w:ascii="Arial Narrow" w:hAnsi="Arial Narrow"/>
                <w:sz w:val="16"/>
                <w:szCs w:val="16"/>
              </w:rPr>
              <w:t xml:space="preserve"> </w:t>
            </w:r>
            <w:proofErr w:type="spellStart"/>
            <w:r>
              <w:rPr>
                <w:rFonts w:ascii="Arial Narrow" w:hAnsi="Arial Narrow"/>
                <w:sz w:val="16"/>
                <w:szCs w:val="16"/>
              </w:rPr>
              <w:t>effect</w:t>
            </w:r>
            <w:proofErr w:type="spellEnd"/>
            <w:r>
              <w:rPr>
                <w:rFonts w:ascii="Arial Narrow" w:hAnsi="Arial Narrow"/>
                <w:sz w:val="16"/>
                <w:szCs w:val="16"/>
              </w:rPr>
              <w:t xml:space="preserve"> is </w:t>
            </w:r>
            <w:proofErr w:type="spellStart"/>
            <w:r>
              <w:rPr>
                <w:rFonts w:ascii="Arial Narrow" w:hAnsi="Arial Narrow"/>
                <w:sz w:val="16"/>
                <w:szCs w:val="16"/>
              </w:rPr>
              <w:t>likely</w:t>
            </w:r>
            <w:proofErr w:type="spellEnd"/>
            <w:r>
              <w:rPr>
                <w:rFonts w:ascii="Arial Narrow" w:hAnsi="Arial Narrow"/>
                <w:sz w:val="16"/>
                <w:szCs w:val="16"/>
              </w:rPr>
              <w:t xml:space="preserve"> </w:t>
            </w:r>
            <w:proofErr w:type="spellStart"/>
            <w:r>
              <w:rPr>
                <w:rFonts w:ascii="Arial Narrow" w:hAnsi="Arial Narrow"/>
                <w:sz w:val="16"/>
                <w:szCs w:val="16"/>
              </w:rPr>
              <w:t>to</w:t>
            </w:r>
            <w:proofErr w:type="spellEnd"/>
            <w:r>
              <w:rPr>
                <w:rFonts w:ascii="Arial Narrow" w:hAnsi="Arial Narrow"/>
                <w:sz w:val="16"/>
                <w:szCs w:val="16"/>
              </w:rPr>
              <w:t xml:space="preserve"> be </w:t>
            </w:r>
            <w:proofErr w:type="spellStart"/>
            <w:r>
              <w:rPr>
                <w:rFonts w:ascii="Arial Narrow" w:hAnsi="Arial Narrow"/>
                <w:sz w:val="16"/>
                <w:szCs w:val="16"/>
              </w:rPr>
              <w:t>close</w:t>
            </w:r>
            <w:proofErr w:type="spellEnd"/>
            <w:r>
              <w:rPr>
                <w:rFonts w:ascii="Arial Narrow" w:hAnsi="Arial Narrow"/>
                <w:sz w:val="16"/>
                <w:szCs w:val="16"/>
              </w:rPr>
              <w:t xml:space="preserve"> </w:t>
            </w:r>
            <w:proofErr w:type="spellStart"/>
            <w:r>
              <w:rPr>
                <w:rFonts w:ascii="Arial Narrow" w:hAnsi="Arial Narrow"/>
                <w:sz w:val="16"/>
                <w:szCs w:val="16"/>
              </w:rPr>
              <w:t>to</w:t>
            </w:r>
            <w:proofErr w:type="spellEnd"/>
            <w:r>
              <w:rPr>
                <w:rFonts w:ascii="Arial Narrow" w:hAnsi="Arial Narrow"/>
                <w:sz w:val="16"/>
                <w:szCs w:val="16"/>
              </w:rPr>
              <w:t xml:space="preserve"> </w:t>
            </w:r>
            <w:proofErr w:type="spellStart"/>
            <w:r>
              <w:rPr>
                <w:rFonts w:ascii="Arial Narrow" w:hAnsi="Arial Narrow"/>
                <w:sz w:val="16"/>
                <w:szCs w:val="16"/>
              </w:rPr>
              <w:t>the</w:t>
            </w:r>
            <w:proofErr w:type="spellEnd"/>
            <w:r>
              <w:rPr>
                <w:rFonts w:ascii="Arial Narrow" w:hAnsi="Arial Narrow"/>
                <w:sz w:val="16"/>
                <w:szCs w:val="16"/>
              </w:rPr>
              <w:t xml:space="preserve"> </w:t>
            </w:r>
            <w:proofErr w:type="spellStart"/>
            <w:r>
              <w:rPr>
                <w:rFonts w:ascii="Arial Narrow" w:hAnsi="Arial Narrow"/>
                <w:sz w:val="16"/>
                <w:szCs w:val="16"/>
              </w:rPr>
              <w:t>estimate</w:t>
            </w:r>
            <w:proofErr w:type="spellEnd"/>
            <w:r>
              <w:rPr>
                <w:rFonts w:ascii="Arial Narrow" w:hAnsi="Arial Narrow"/>
                <w:sz w:val="16"/>
                <w:szCs w:val="16"/>
              </w:rPr>
              <w:t xml:space="preserve"> of </w:t>
            </w:r>
            <w:proofErr w:type="spellStart"/>
            <w:r>
              <w:rPr>
                <w:rFonts w:ascii="Arial Narrow" w:hAnsi="Arial Narrow"/>
                <w:sz w:val="16"/>
                <w:szCs w:val="16"/>
              </w:rPr>
              <w:t>the</w:t>
            </w:r>
            <w:proofErr w:type="spellEnd"/>
            <w:r>
              <w:rPr>
                <w:rFonts w:ascii="Arial Narrow" w:hAnsi="Arial Narrow"/>
                <w:sz w:val="16"/>
                <w:szCs w:val="16"/>
              </w:rPr>
              <w:t xml:space="preserve"> </w:t>
            </w:r>
            <w:proofErr w:type="spellStart"/>
            <w:r>
              <w:rPr>
                <w:rFonts w:ascii="Arial Narrow" w:hAnsi="Arial Narrow"/>
                <w:sz w:val="16"/>
                <w:szCs w:val="16"/>
              </w:rPr>
              <w:t>effect</w:t>
            </w:r>
            <w:proofErr w:type="spellEnd"/>
            <w:r>
              <w:rPr>
                <w:rFonts w:ascii="Arial Narrow" w:hAnsi="Arial Narrow"/>
                <w:sz w:val="16"/>
                <w:szCs w:val="16"/>
              </w:rPr>
              <w:t xml:space="preserve">, </w:t>
            </w:r>
            <w:proofErr w:type="spellStart"/>
            <w:r>
              <w:rPr>
                <w:rFonts w:ascii="Arial Narrow" w:hAnsi="Arial Narrow"/>
                <w:sz w:val="16"/>
                <w:szCs w:val="16"/>
              </w:rPr>
              <w:t>but</w:t>
            </w:r>
            <w:proofErr w:type="spellEnd"/>
            <w:r>
              <w:rPr>
                <w:rFonts w:ascii="Arial Narrow" w:hAnsi="Arial Narrow"/>
                <w:sz w:val="16"/>
                <w:szCs w:val="16"/>
              </w:rPr>
              <w:t xml:space="preserve"> </w:t>
            </w:r>
            <w:proofErr w:type="spellStart"/>
            <w:r>
              <w:rPr>
                <w:rFonts w:ascii="Arial Narrow" w:hAnsi="Arial Narrow"/>
                <w:sz w:val="16"/>
                <w:szCs w:val="16"/>
              </w:rPr>
              <w:t>there</w:t>
            </w:r>
            <w:proofErr w:type="spellEnd"/>
            <w:r>
              <w:rPr>
                <w:rFonts w:ascii="Arial Narrow" w:hAnsi="Arial Narrow"/>
                <w:sz w:val="16"/>
                <w:szCs w:val="16"/>
              </w:rPr>
              <w:t xml:space="preserve"> is a </w:t>
            </w:r>
            <w:proofErr w:type="spellStart"/>
            <w:r>
              <w:rPr>
                <w:rFonts w:ascii="Arial Narrow" w:hAnsi="Arial Narrow"/>
                <w:sz w:val="16"/>
                <w:szCs w:val="16"/>
              </w:rPr>
              <w:t>possibility</w:t>
            </w:r>
            <w:proofErr w:type="spellEnd"/>
            <w:r>
              <w:rPr>
                <w:rFonts w:ascii="Arial Narrow" w:hAnsi="Arial Narrow"/>
                <w:sz w:val="16"/>
                <w:szCs w:val="16"/>
              </w:rPr>
              <w:t xml:space="preserve"> </w:t>
            </w:r>
            <w:proofErr w:type="spellStart"/>
            <w:r>
              <w:rPr>
                <w:rFonts w:ascii="Arial Narrow" w:hAnsi="Arial Narrow"/>
                <w:sz w:val="16"/>
                <w:szCs w:val="16"/>
              </w:rPr>
              <w:t>that</w:t>
            </w:r>
            <w:proofErr w:type="spellEnd"/>
            <w:r>
              <w:rPr>
                <w:rFonts w:ascii="Arial Narrow" w:hAnsi="Arial Narrow"/>
                <w:sz w:val="16"/>
                <w:szCs w:val="16"/>
              </w:rPr>
              <w:t xml:space="preserve"> </w:t>
            </w:r>
            <w:proofErr w:type="spellStart"/>
            <w:r>
              <w:rPr>
                <w:rFonts w:ascii="Arial Narrow" w:hAnsi="Arial Narrow"/>
                <w:sz w:val="16"/>
                <w:szCs w:val="16"/>
              </w:rPr>
              <w:t>it</w:t>
            </w:r>
            <w:proofErr w:type="spellEnd"/>
            <w:r>
              <w:rPr>
                <w:rFonts w:ascii="Arial Narrow" w:hAnsi="Arial Narrow"/>
                <w:sz w:val="16"/>
                <w:szCs w:val="16"/>
              </w:rPr>
              <w:t xml:space="preserve"> is </w:t>
            </w:r>
            <w:proofErr w:type="spellStart"/>
            <w:r>
              <w:rPr>
                <w:rFonts w:ascii="Arial Narrow" w:hAnsi="Arial Narrow"/>
                <w:sz w:val="16"/>
                <w:szCs w:val="16"/>
              </w:rPr>
              <w:t>substantially</w:t>
            </w:r>
            <w:proofErr w:type="spellEnd"/>
            <w:r>
              <w:rPr>
                <w:rFonts w:ascii="Arial Narrow" w:hAnsi="Arial Narrow"/>
                <w:sz w:val="16"/>
                <w:szCs w:val="16"/>
              </w:rPr>
              <w:t xml:space="preserve"> </w:t>
            </w:r>
            <w:proofErr w:type="spellStart"/>
            <w:r>
              <w:rPr>
                <w:rFonts w:ascii="Arial Narrow" w:hAnsi="Arial Narrow"/>
                <w:sz w:val="16"/>
                <w:szCs w:val="16"/>
              </w:rPr>
              <w:t>different</w:t>
            </w:r>
            <w:proofErr w:type="spellEnd"/>
            <w:r>
              <w:rPr>
                <w:rFonts w:ascii="Arial Narrow" w:hAnsi="Arial Narrow"/>
                <w:sz w:val="16"/>
                <w:szCs w:val="16"/>
              </w:rPr>
              <w:t>.</w:t>
            </w:r>
            <w:r>
              <w:rPr>
                <w:rFonts w:ascii="Arial Narrow" w:hAnsi="Arial Narrow"/>
                <w:sz w:val="16"/>
                <w:szCs w:val="16"/>
              </w:rPr>
              <w:br/>
            </w:r>
            <w:r>
              <w:rPr>
                <w:rFonts w:ascii="Arial Narrow" w:hAnsi="Arial Narrow"/>
                <w:b/>
                <w:bCs/>
                <w:sz w:val="16"/>
                <w:szCs w:val="16"/>
              </w:rPr>
              <w:t xml:space="preserve">Low </w:t>
            </w:r>
            <w:proofErr w:type="spellStart"/>
            <w:r>
              <w:rPr>
                <w:rFonts w:ascii="Arial Narrow" w:hAnsi="Arial Narrow"/>
                <w:b/>
                <w:bCs/>
                <w:sz w:val="16"/>
                <w:szCs w:val="16"/>
              </w:rPr>
              <w:t>certainty</w:t>
            </w:r>
            <w:proofErr w:type="spellEnd"/>
            <w:r>
              <w:rPr>
                <w:rFonts w:ascii="Arial Narrow" w:hAnsi="Arial Narrow"/>
                <w:b/>
                <w:bCs/>
                <w:sz w:val="16"/>
                <w:szCs w:val="16"/>
              </w:rPr>
              <w:t>:</w:t>
            </w:r>
            <w:r>
              <w:rPr>
                <w:rFonts w:ascii="Arial Narrow" w:hAnsi="Arial Narrow"/>
                <w:sz w:val="16"/>
                <w:szCs w:val="16"/>
              </w:rPr>
              <w:t xml:space="preserve"> </w:t>
            </w:r>
            <w:proofErr w:type="spellStart"/>
            <w:r>
              <w:rPr>
                <w:rFonts w:ascii="Arial Narrow" w:hAnsi="Arial Narrow"/>
                <w:sz w:val="16"/>
                <w:szCs w:val="16"/>
              </w:rPr>
              <w:t>our</w:t>
            </w:r>
            <w:proofErr w:type="spellEnd"/>
            <w:r>
              <w:rPr>
                <w:rFonts w:ascii="Arial Narrow" w:hAnsi="Arial Narrow"/>
                <w:sz w:val="16"/>
                <w:szCs w:val="16"/>
              </w:rPr>
              <w:t xml:space="preserve"> </w:t>
            </w:r>
            <w:proofErr w:type="spellStart"/>
            <w:r>
              <w:rPr>
                <w:rFonts w:ascii="Arial Narrow" w:hAnsi="Arial Narrow"/>
                <w:sz w:val="16"/>
                <w:szCs w:val="16"/>
              </w:rPr>
              <w:t>confidence</w:t>
            </w:r>
            <w:proofErr w:type="spellEnd"/>
            <w:r>
              <w:rPr>
                <w:rFonts w:ascii="Arial Narrow" w:hAnsi="Arial Narrow"/>
                <w:sz w:val="16"/>
                <w:szCs w:val="16"/>
              </w:rPr>
              <w:t xml:space="preserve"> in </w:t>
            </w:r>
            <w:proofErr w:type="spellStart"/>
            <w:r>
              <w:rPr>
                <w:rFonts w:ascii="Arial Narrow" w:hAnsi="Arial Narrow"/>
                <w:sz w:val="16"/>
                <w:szCs w:val="16"/>
              </w:rPr>
              <w:t>the</w:t>
            </w:r>
            <w:proofErr w:type="spellEnd"/>
            <w:r>
              <w:rPr>
                <w:rFonts w:ascii="Arial Narrow" w:hAnsi="Arial Narrow"/>
                <w:sz w:val="16"/>
                <w:szCs w:val="16"/>
              </w:rPr>
              <w:t xml:space="preserve"> </w:t>
            </w:r>
            <w:proofErr w:type="spellStart"/>
            <w:r>
              <w:rPr>
                <w:rFonts w:ascii="Arial Narrow" w:hAnsi="Arial Narrow"/>
                <w:sz w:val="16"/>
                <w:szCs w:val="16"/>
              </w:rPr>
              <w:t>effect</w:t>
            </w:r>
            <w:proofErr w:type="spellEnd"/>
            <w:r>
              <w:rPr>
                <w:rFonts w:ascii="Arial Narrow" w:hAnsi="Arial Narrow"/>
                <w:sz w:val="16"/>
                <w:szCs w:val="16"/>
              </w:rPr>
              <w:t xml:space="preserve"> </w:t>
            </w:r>
            <w:proofErr w:type="spellStart"/>
            <w:r>
              <w:rPr>
                <w:rFonts w:ascii="Arial Narrow" w:hAnsi="Arial Narrow"/>
                <w:sz w:val="16"/>
                <w:szCs w:val="16"/>
              </w:rPr>
              <w:t>estimate</w:t>
            </w:r>
            <w:proofErr w:type="spellEnd"/>
            <w:r>
              <w:rPr>
                <w:rFonts w:ascii="Arial Narrow" w:hAnsi="Arial Narrow"/>
                <w:sz w:val="16"/>
                <w:szCs w:val="16"/>
              </w:rPr>
              <w:t xml:space="preserve"> is limited: </w:t>
            </w:r>
            <w:proofErr w:type="spellStart"/>
            <w:r>
              <w:rPr>
                <w:rFonts w:ascii="Arial Narrow" w:hAnsi="Arial Narrow"/>
                <w:sz w:val="16"/>
                <w:szCs w:val="16"/>
              </w:rPr>
              <w:t>the</w:t>
            </w:r>
            <w:proofErr w:type="spellEnd"/>
            <w:r>
              <w:rPr>
                <w:rFonts w:ascii="Arial Narrow" w:hAnsi="Arial Narrow"/>
                <w:sz w:val="16"/>
                <w:szCs w:val="16"/>
              </w:rPr>
              <w:t xml:space="preserve"> </w:t>
            </w:r>
            <w:proofErr w:type="spellStart"/>
            <w:r>
              <w:rPr>
                <w:rFonts w:ascii="Arial Narrow" w:hAnsi="Arial Narrow"/>
                <w:sz w:val="16"/>
                <w:szCs w:val="16"/>
              </w:rPr>
              <w:t>true</w:t>
            </w:r>
            <w:proofErr w:type="spellEnd"/>
            <w:r>
              <w:rPr>
                <w:rFonts w:ascii="Arial Narrow" w:hAnsi="Arial Narrow"/>
                <w:sz w:val="16"/>
                <w:szCs w:val="16"/>
              </w:rPr>
              <w:t xml:space="preserve"> </w:t>
            </w:r>
            <w:proofErr w:type="spellStart"/>
            <w:r>
              <w:rPr>
                <w:rFonts w:ascii="Arial Narrow" w:hAnsi="Arial Narrow"/>
                <w:sz w:val="16"/>
                <w:szCs w:val="16"/>
              </w:rPr>
              <w:t>effect</w:t>
            </w:r>
            <w:proofErr w:type="spellEnd"/>
            <w:r>
              <w:rPr>
                <w:rFonts w:ascii="Arial Narrow" w:hAnsi="Arial Narrow"/>
                <w:sz w:val="16"/>
                <w:szCs w:val="16"/>
              </w:rPr>
              <w:t xml:space="preserve"> </w:t>
            </w:r>
            <w:proofErr w:type="spellStart"/>
            <w:r>
              <w:rPr>
                <w:rFonts w:ascii="Arial Narrow" w:hAnsi="Arial Narrow"/>
                <w:sz w:val="16"/>
                <w:szCs w:val="16"/>
              </w:rPr>
              <w:t>may</w:t>
            </w:r>
            <w:proofErr w:type="spellEnd"/>
            <w:r>
              <w:rPr>
                <w:rFonts w:ascii="Arial Narrow" w:hAnsi="Arial Narrow"/>
                <w:sz w:val="16"/>
                <w:szCs w:val="16"/>
              </w:rPr>
              <w:t xml:space="preserve"> be </w:t>
            </w:r>
            <w:proofErr w:type="spellStart"/>
            <w:r>
              <w:rPr>
                <w:rFonts w:ascii="Arial Narrow" w:hAnsi="Arial Narrow"/>
                <w:sz w:val="16"/>
                <w:szCs w:val="16"/>
              </w:rPr>
              <w:t>substantially</w:t>
            </w:r>
            <w:proofErr w:type="spellEnd"/>
            <w:r>
              <w:rPr>
                <w:rFonts w:ascii="Arial Narrow" w:hAnsi="Arial Narrow"/>
                <w:sz w:val="16"/>
                <w:szCs w:val="16"/>
              </w:rPr>
              <w:t xml:space="preserve"> </w:t>
            </w:r>
            <w:proofErr w:type="spellStart"/>
            <w:r>
              <w:rPr>
                <w:rFonts w:ascii="Arial Narrow" w:hAnsi="Arial Narrow"/>
                <w:sz w:val="16"/>
                <w:szCs w:val="16"/>
              </w:rPr>
              <w:t>different</w:t>
            </w:r>
            <w:proofErr w:type="spellEnd"/>
            <w:r>
              <w:rPr>
                <w:rFonts w:ascii="Arial Narrow" w:hAnsi="Arial Narrow"/>
                <w:sz w:val="16"/>
                <w:szCs w:val="16"/>
              </w:rPr>
              <w:t xml:space="preserve"> </w:t>
            </w:r>
            <w:proofErr w:type="spellStart"/>
            <w:r>
              <w:rPr>
                <w:rFonts w:ascii="Arial Narrow" w:hAnsi="Arial Narrow"/>
                <w:sz w:val="16"/>
                <w:szCs w:val="16"/>
              </w:rPr>
              <w:t>from</w:t>
            </w:r>
            <w:proofErr w:type="spellEnd"/>
            <w:r>
              <w:rPr>
                <w:rFonts w:ascii="Arial Narrow" w:hAnsi="Arial Narrow"/>
                <w:sz w:val="16"/>
                <w:szCs w:val="16"/>
              </w:rPr>
              <w:t xml:space="preserve"> </w:t>
            </w:r>
            <w:proofErr w:type="spellStart"/>
            <w:r>
              <w:rPr>
                <w:rFonts w:ascii="Arial Narrow" w:hAnsi="Arial Narrow"/>
                <w:sz w:val="16"/>
                <w:szCs w:val="16"/>
              </w:rPr>
              <w:t>the</w:t>
            </w:r>
            <w:proofErr w:type="spellEnd"/>
            <w:r>
              <w:rPr>
                <w:rFonts w:ascii="Arial Narrow" w:hAnsi="Arial Narrow"/>
                <w:sz w:val="16"/>
                <w:szCs w:val="16"/>
              </w:rPr>
              <w:t xml:space="preserve"> </w:t>
            </w:r>
            <w:proofErr w:type="spellStart"/>
            <w:r>
              <w:rPr>
                <w:rFonts w:ascii="Arial Narrow" w:hAnsi="Arial Narrow"/>
                <w:sz w:val="16"/>
                <w:szCs w:val="16"/>
              </w:rPr>
              <w:t>estimate</w:t>
            </w:r>
            <w:proofErr w:type="spellEnd"/>
            <w:r>
              <w:rPr>
                <w:rFonts w:ascii="Arial Narrow" w:hAnsi="Arial Narrow"/>
                <w:sz w:val="16"/>
                <w:szCs w:val="16"/>
              </w:rPr>
              <w:t xml:space="preserve"> of </w:t>
            </w:r>
            <w:proofErr w:type="spellStart"/>
            <w:r>
              <w:rPr>
                <w:rFonts w:ascii="Arial Narrow" w:hAnsi="Arial Narrow"/>
                <w:sz w:val="16"/>
                <w:szCs w:val="16"/>
              </w:rPr>
              <w:t>the</w:t>
            </w:r>
            <w:proofErr w:type="spellEnd"/>
            <w:r>
              <w:rPr>
                <w:rFonts w:ascii="Arial Narrow" w:hAnsi="Arial Narrow"/>
                <w:sz w:val="16"/>
                <w:szCs w:val="16"/>
              </w:rPr>
              <w:t xml:space="preserve"> </w:t>
            </w:r>
            <w:proofErr w:type="spellStart"/>
            <w:r>
              <w:rPr>
                <w:rFonts w:ascii="Arial Narrow" w:hAnsi="Arial Narrow"/>
                <w:sz w:val="16"/>
                <w:szCs w:val="16"/>
              </w:rPr>
              <w:t>effect</w:t>
            </w:r>
            <w:proofErr w:type="spellEnd"/>
            <w:r>
              <w:rPr>
                <w:rFonts w:ascii="Arial Narrow" w:hAnsi="Arial Narrow"/>
                <w:sz w:val="16"/>
                <w:szCs w:val="16"/>
              </w:rPr>
              <w:t>.</w:t>
            </w:r>
            <w:r>
              <w:rPr>
                <w:rFonts w:ascii="Arial Narrow" w:hAnsi="Arial Narrow"/>
                <w:sz w:val="16"/>
                <w:szCs w:val="16"/>
              </w:rPr>
              <w:br/>
            </w:r>
            <w:proofErr w:type="spellStart"/>
            <w:r>
              <w:rPr>
                <w:rFonts w:ascii="Arial Narrow" w:hAnsi="Arial Narrow"/>
                <w:b/>
                <w:bCs/>
                <w:sz w:val="16"/>
                <w:szCs w:val="16"/>
              </w:rPr>
              <w:t>Very</w:t>
            </w:r>
            <w:proofErr w:type="spellEnd"/>
            <w:r>
              <w:rPr>
                <w:rFonts w:ascii="Arial Narrow" w:hAnsi="Arial Narrow"/>
                <w:b/>
                <w:bCs/>
                <w:sz w:val="16"/>
                <w:szCs w:val="16"/>
              </w:rPr>
              <w:t xml:space="preserve"> </w:t>
            </w:r>
            <w:proofErr w:type="spellStart"/>
            <w:r>
              <w:rPr>
                <w:rFonts w:ascii="Arial Narrow" w:hAnsi="Arial Narrow"/>
                <w:b/>
                <w:bCs/>
                <w:sz w:val="16"/>
                <w:szCs w:val="16"/>
              </w:rPr>
              <w:t>low</w:t>
            </w:r>
            <w:proofErr w:type="spellEnd"/>
            <w:r>
              <w:rPr>
                <w:rFonts w:ascii="Arial Narrow" w:hAnsi="Arial Narrow"/>
                <w:b/>
                <w:bCs/>
                <w:sz w:val="16"/>
                <w:szCs w:val="16"/>
              </w:rPr>
              <w:t xml:space="preserve"> </w:t>
            </w:r>
            <w:proofErr w:type="spellStart"/>
            <w:r>
              <w:rPr>
                <w:rFonts w:ascii="Arial Narrow" w:hAnsi="Arial Narrow"/>
                <w:b/>
                <w:bCs/>
                <w:sz w:val="16"/>
                <w:szCs w:val="16"/>
              </w:rPr>
              <w:t>certainty</w:t>
            </w:r>
            <w:proofErr w:type="spellEnd"/>
            <w:r>
              <w:rPr>
                <w:rFonts w:ascii="Arial Narrow" w:hAnsi="Arial Narrow"/>
                <w:b/>
                <w:bCs/>
                <w:sz w:val="16"/>
                <w:szCs w:val="16"/>
              </w:rPr>
              <w:t>:</w:t>
            </w:r>
            <w:r>
              <w:rPr>
                <w:rFonts w:ascii="Arial Narrow" w:hAnsi="Arial Narrow"/>
                <w:sz w:val="16"/>
                <w:szCs w:val="16"/>
              </w:rPr>
              <w:t xml:space="preserve"> </w:t>
            </w:r>
            <w:proofErr w:type="spellStart"/>
            <w:r>
              <w:rPr>
                <w:rFonts w:ascii="Arial Narrow" w:hAnsi="Arial Narrow"/>
                <w:sz w:val="16"/>
                <w:szCs w:val="16"/>
              </w:rPr>
              <w:t>we</w:t>
            </w:r>
            <w:proofErr w:type="spellEnd"/>
            <w:r>
              <w:rPr>
                <w:rFonts w:ascii="Arial Narrow" w:hAnsi="Arial Narrow"/>
                <w:sz w:val="16"/>
                <w:szCs w:val="16"/>
              </w:rPr>
              <w:t xml:space="preserve"> </w:t>
            </w:r>
            <w:proofErr w:type="spellStart"/>
            <w:r>
              <w:rPr>
                <w:rFonts w:ascii="Arial Narrow" w:hAnsi="Arial Narrow"/>
                <w:sz w:val="16"/>
                <w:szCs w:val="16"/>
              </w:rPr>
              <w:t>have</w:t>
            </w:r>
            <w:proofErr w:type="spellEnd"/>
            <w:r>
              <w:rPr>
                <w:rFonts w:ascii="Arial Narrow" w:hAnsi="Arial Narrow"/>
                <w:sz w:val="16"/>
                <w:szCs w:val="16"/>
              </w:rPr>
              <w:t xml:space="preserve"> </w:t>
            </w:r>
            <w:proofErr w:type="spellStart"/>
            <w:r>
              <w:rPr>
                <w:rFonts w:ascii="Arial Narrow" w:hAnsi="Arial Narrow"/>
                <w:sz w:val="16"/>
                <w:szCs w:val="16"/>
              </w:rPr>
              <w:t>very</w:t>
            </w:r>
            <w:proofErr w:type="spellEnd"/>
            <w:r>
              <w:rPr>
                <w:rFonts w:ascii="Arial Narrow" w:hAnsi="Arial Narrow"/>
                <w:sz w:val="16"/>
                <w:szCs w:val="16"/>
              </w:rPr>
              <w:t xml:space="preserve"> </w:t>
            </w:r>
            <w:proofErr w:type="spellStart"/>
            <w:r>
              <w:rPr>
                <w:rFonts w:ascii="Arial Narrow" w:hAnsi="Arial Narrow"/>
                <w:sz w:val="16"/>
                <w:szCs w:val="16"/>
              </w:rPr>
              <w:t>little</w:t>
            </w:r>
            <w:proofErr w:type="spellEnd"/>
            <w:r>
              <w:rPr>
                <w:rFonts w:ascii="Arial Narrow" w:hAnsi="Arial Narrow"/>
                <w:sz w:val="16"/>
                <w:szCs w:val="16"/>
              </w:rPr>
              <w:t xml:space="preserve"> </w:t>
            </w:r>
            <w:proofErr w:type="spellStart"/>
            <w:r>
              <w:rPr>
                <w:rFonts w:ascii="Arial Narrow" w:hAnsi="Arial Narrow"/>
                <w:sz w:val="16"/>
                <w:szCs w:val="16"/>
              </w:rPr>
              <w:t>confidence</w:t>
            </w:r>
            <w:proofErr w:type="spellEnd"/>
            <w:r>
              <w:rPr>
                <w:rFonts w:ascii="Arial Narrow" w:hAnsi="Arial Narrow"/>
                <w:sz w:val="16"/>
                <w:szCs w:val="16"/>
              </w:rPr>
              <w:t xml:space="preserve"> in </w:t>
            </w:r>
            <w:proofErr w:type="spellStart"/>
            <w:r>
              <w:rPr>
                <w:rFonts w:ascii="Arial Narrow" w:hAnsi="Arial Narrow"/>
                <w:sz w:val="16"/>
                <w:szCs w:val="16"/>
              </w:rPr>
              <w:t>the</w:t>
            </w:r>
            <w:proofErr w:type="spellEnd"/>
            <w:r>
              <w:rPr>
                <w:rFonts w:ascii="Arial Narrow" w:hAnsi="Arial Narrow"/>
                <w:sz w:val="16"/>
                <w:szCs w:val="16"/>
              </w:rPr>
              <w:t xml:space="preserve"> </w:t>
            </w:r>
            <w:proofErr w:type="spellStart"/>
            <w:r>
              <w:rPr>
                <w:rFonts w:ascii="Arial Narrow" w:hAnsi="Arial Narrow"/>
                <w:sz w:val="16"/>
                <w:szCs w:val="16"/>
              </w:rPr>
              <w:t>effect</w:t>
            </w:r>
            <w:proofErr w:type="spellEnd"/>
            <w:r>
              <w:rPr>
                <w:rFonts w:ascii="Arial Narrow" w:hAnsi="Arial Narrow"/>
                <w:sz w:val="16"/>
                <w:szCs w:val="16"/>
              </w:rPr>
              <w:t xml:space="preserve"> </w:t>
            </w:r>
            <w:proofErr w:type="spellStart"/>
            <w:r>
              <w:rPr>
                <w:rFonts w:ascii="Arial Narrow" w:hAnsi="Arial Narrow"/>
                <w:sz w:val="16"/>
                <w:szCs w:val="16"/>
              </w:rPr>
              <w:t>estimate</w:t>
            </w:r>
            <w:proofErr w:type="spellEnd"/>
            <w:r>
              <w:rPr>
                <w:rFonts w:ascii="Arial Narrow" w:hAnsi="Arial Narrow"/>
                <w:sz w:val="16"/>
                <w:szCs w:val="16"/>
              </w:rPr>
              <w:t xml:space="preserve">: </w:t>
            </w:r>
            <w:proofErr w:type="spellStart"/>
            <w:r>
              <w:rPr>
                <w:rFonts w:ascii="Arial Narrow" w:hAnsi="Arial Narrow"/>
                <w:sz w:val="16"/>
                <w:szCs w:val="16"/>
              </w:rPr>
              <w:t>the</w:t>
            </w:r>
            <w:proofErr w:type="spellEnd"/>
            <w:r>
              <w:rPr>
                <w:rFonts w:ascii="Arial Narrow" w:hAnsi="Arial Narrow"/>
                <w:sz w:val="16"/>
                <w:szCs w:val="16"/>
              </w:rPr>
              <w:t xml:space="preserve"> </w:t>
            </w:r>
            <w:proofErr w:type="spellStart"/>
            <w:r>
              <w:rPr>
                <w:rFonts w:ascii="Arial Narrow" w:hAnsi="Arial Narrow"/>
                <w:sz w:val="16"/>
                <w:szCs w:val="16"/>
              </w:rPr>
              <w:t>true</w:t>
            </w:r>
            <w:proofErr w:type="spellEnd"/>
            <w:r>
              <w:rPr>
                <w:rFonts w:ascii="Arial Narrow" w:hAnsi="Arial Narrow"/>
                <w:sz w:val="16"/>
                <w:szCs w:val="16"/>
              </w:rPr>
              <w:t xml:space="preserve"> </w:t>
            </w:r>
            <w:proofErr w:type="spellStart"/>
            <w:r>
              <w:rPr>
                <w:rFonts w:ascii="Arial Narrow" w:hAnsi="Arial Narrow"/>
                <w:sz w:val="16"/>
                <w:szCs w:val="16"/>
              </w:rPr>
              <w:t>effect</w:t>
            </w:r>
            <w:proofErr w:type="spellEnd"/>
            <w:r>
              <w:rPr>
                <w:rFonts w:ascii="Arial Narrow" w:hAnsi="Arial Narrow"/>
                <w:sz w:val="16"/>
                <w:szCs w:val="16"/>
              </w:rPr>
              <w:t xml:space="preserve"> is </w:t>
            </w:r>
            <w:proofErr w:type="spellStart"/>
            <w:r>
              <w:rPr>
                <w:rFonts w:ascii="Arial Narrow" w:hAnsi="Arial Narrow"/>
                <w:sz w:val="16"/>
                <w:szCs w:val="16"/>
              </w:rPr>
              <w:t>likely</w:t>
            </w:r>
            <w:proofErr w:type="spellEnd"/>
            <w:r>
              <w:rPr>
                <w:rFonts w:ascii="Arial Narrow" w:hAnsi="Arial Narrow"/>
                <w:sz w:val="16"/>
                <w:szCs w:val="16"/>
              </w:rPr>
              <w:t xml:space="preserve"> </w:t>
            </w:r>
            <w:proofErr w:type="spellStart"/>
            <w:r>
              <w:rPr>
                <w:rFonts w:ascii="Arial Narrow" w:hAnsi="Arial Narrow"/>
                <w:sz w:val="16"/>
                <w:szCs w:val="16"/>
              </w:rPr>
              <w:t>to</w:t>
            </w:r>
            <w:proofErr w:type="spellEnd"/>
            <w:r>
              <w:rPr>
                <w:rFonts w:ascii="Arial Narrow" w:hAnsi="Arial Narrow"/>
                <w:sz w:val="16"/>
                <w:szCs w:val="16"/>
              </w:rPr>
              <w:t xml:space="preserve"> be </w:t>
            </w:r>
            <w:proofErr w:type="spellStart"/>
            <w:r>
              <w:rPr>
                <w:rFonts w:ascii="Arial Narrow" w:hAnsi="Arial Narrow"/>
                <w:sz w:val="16"/>
                <w:szCs w:val="16"/>
              </w:rPr>
              <w:t>substantially</w:t>
            </w:r>
            <w:proofErr w:type="spellEnd"/>
            <w:r>
              <w:rPr>
                <w:rFonts w:ascii="Arial Narrow" w:hAnsi="Arial Narrow"/>
                <w:sz w:val="16"/>
                <w:szCs w:val="16"/>
              </w:rPr>
              <w:t xml:space="preserve"> </w:t>
            </w:r>
            <w:proofErr w:type="spellStart"/>
            <w:r>
              <w:rPr>
                <w:rFonts w:ascii="Arial Narrow" w:hAnsi="Arial Narrow"/>
                <w:sz w:val="16"/>
                <w:szCs w:val="16"/>
              </w:rPr>
              <w:t>different</w:t>
            </w:r>
            <w:proofErr w:type="spellEnd"/>
            <w:r>
              <w:rPr>
                <w:rFonts w:ascii="Arial Narrow" w:hAnsi="Arial Narrow"/>
                <w:sz w:val="16"/>
                <w:szCs w:val="16"/>
              </w:rPr>
              <w:t xml:space="preserve"> </w:t>
            </w:r>
            <w:proofErr w:type="spellStart"/>
            <w:r>
              <w:rPr>
                <w:rFonts w:ascii="Arial Narrow" w:hAnsi="Arial Narrow"/>
                <w:sz w:val="16"/>
                <w:szCs w:val="16"/>
              </w:rPr>
              <w:t>from</w:t>
            </w:r>
            <w:proofErr w:type="spellEnd"/>
            <w:r>
              <w:rPr>
                <w:rFonts w:ascii="Arial Narrow" w:hAnsi="Arial Narrow"/>
                <w:sz w:val="16"/>
                <w:szCs w:val="16"/>
              </w:rPr>
              <w:t xml:space="preserve"> </w:t>
            </w:r>
            <w:proofErr w:type="spellStart"/>
            <w:r>
              <w:rPr>
                <w:rFonts w:ascii="Arial Narrow" w:hAnsi="Arial Narrow"/>
                <w:sz w:val="16"/>
                <w:szCs w:val="16"/>
              </w:rPr>
              <w:t>the</w:t>
            </w:r>
            <w:proofErr w:type="spellEnd"/>
            <w:r>
              <w:rPr>
                <w:rFonts w:ascii="Arial Narrow" w:hAnsi="Arial Narrow"/>
                <w:sz w:val="16"/>
                <w:szCs w:val="16"/>
              </w:rPr>
              <w:t xml:space="preserve"> </w:t>
            </w:r>
            <w:proofErr w:type="spellStart"/>
            <w:r>
              <w:rPr>
                <w:rFonts w:ascii="Arial Narrow" w:hAnsi="Arial Narrow"/>
                <w:sz w:val="16"/>
                <w:szCs w:val="16"/>
              </w:rPr>
              <w:t>estimate</w:t>
            </w:r>
            <w:proofErr w:type="spellEnd"/>
            <w:r>
              <w:rPr>
                <w:rFonts w:ascii="Arial Narrow" w:hAnsi="Arial Narrow"/>
                <w:sz w:val="16"/>
                <w:szCs w:val="16"/>
              </w:rPr>
              <w:t xml:space="preserve"> of </w:t>
            </w:r>
            <w:proofErr w:type="spellStart"/>
            <w:r>
              <w:rPr>
                <w:rFonts w:ascii="Arial Narrow" w:hAnsi="Arial Narrow"/>
                <w:sz w:val="16"/>
                <w:szCs w:val="16"/>
              </w:rPr>
              <w:t>effect</w:t>
            </w:r>
            <w:proofErr w:type="spellEnd"/>
            <w:r>
              <w:rPr>
                <w:rFonts w:ascii="Arial Narrow" w:hAnsi="Arial Narrow"/>
                <w:sz w:val="16"/>
                <w:szCs w:val="16"/>
              </w:rPr>
              <w:t>.</w:t>
            </w:r>
          </w:p>
        </w:tc>
      </w:tr>
    </w:tbl>
    <w:p w14:paraId="21A13994" w14:textId="77777777" w:rsidR="009F5320" w:rsidRPr="009F5320" w:rsidRDefault="009F5320" w:rsidP="009F5320"/>
    <w:p w14:paraId="6C0793B0" w14:textId="77777777" w:rsidR="006322AA" w:rsidRPr="00483D15" w:rsidRDefault="006322AA">
      <w:pPr>
        <w:jc w:val="left"/>
        <w:rPr>
          <w:rFonts w:eastAsiaTheme="majorEastAsia" w:cstheme="majorBidi"/>
          <w:b/>
          <w:color w:val="4EA72E" w:themeColor="accent6"/>
          <w:szCs w:val="32"/>
          <w:lang w:val="en-US"/>
        </w:rPr>
      </w:pPr>
      <w:r w:rsidRPr="00483D15">
        <w:rPr>
          <w:color w:val="4EA72E" w:themeColor="accent6"/>
          <w:lang w:val="en-US"/>
        </w:rPr>
        <w:br w:type="page"/>
      </w:r>
    </w:p>
    <w:p w14:paraId="5A5E1A32" w14:textId="4A4B07FB" w:rsidR="00B41FBB" w:rsidRPr="00483D15" w:rsidRDefault="00B41FBB" w:rsidP="0036711F">
      <w:pPr>
        <w:pStyle w:val="Heading2"/>
        <w:rPr>
          <w:lang w:val="en-US"/>
        </w:rPr>
      </w:pPr>
      <w:bookmarkStart w:id="65" w:name="_Toc211542209"/>
      <w:r w:rsidRPr="00483D15">
        <w:rPr>
          <w:lang w:val="en-US"/>
        </w:rPr>
        <w:lastRenderedPageBreak/>
        <w:t>8.2. Study II.</w:t>
      </w:r>
      <w:r w:rsidR="000B4647" w:rsidRPr="00483D15">
        <w:rPr>
          <w:lang w:val="en-US"/>
        </w:rPr>
        <w:t xml:space="preserve"> </w:t>
      </w:r>
      <w:r w:rsidR="00B07668" w:rsidRPr="00483D15">
        <w:rPr>
          <w:lang w:val="en-US"/>
        </w:rPr>
        <w:t xml:space="preserve">– </w:t>
      </w:r>
      <w:proofErr w:type="spellStart"/>
      <w:r w:rsidR="00B07668" w:rsidRPr="00483D15">
        <w:rPr>
          <w:lang w:val="en-US"/>
        </w:rPr>
        <w:t>Hem</w:t>
      </w:r>
      <w:r w:rsidR="004A5249">
        <w:rPr>
          <w:lang w:val="en-US"/>
        </w:rPr>
        <w:t>o</w:t>
      </w:r>
      <w:r w:rsidR="00B07668" w:rsidRPr="00483D15">
        <w:rPr>
          <w:lang w:val="en-US"/>
        </w:rPr>
        <w:t>adsorption</w:t>
      </w:r>
      <w:proofErr w:type="spellEnd"/>
      <w:r w:rsidR="00B07668" w:rsidRPr="00483D15">
        <w:rPr>
          <w:lang w:val="en-US"/>
        </w:rPr>
        <w:t xml:space="preserve"> as Adjuvant Therapy in ARDS</w:t>
      </w:r>
      <w:bookmarkEnd w:id="65"/>
    </w:p>
    <w:p w14:paraId="18FA6830" w14:textId="255B136C" w:rsidR="009A424B" w:rsidRPr="00483D15" w:rsidRDefault="004958FF" w:rsidP="0036711F">
      <w:pPr>
        <w:pStyle w:val="Heading3"/>
        <w:rPr>
          <w:lang w:val="en-US"/>
        </w:rPr>
      </w:pPr>
      <w:bookmarkStart w:id="66" w:name="_Toc211542210"/>
      <w:r w:rsidRPr="00483D15">
        <w:rPr>
          <w:lang w:val="en-US"/>
        </w:rPr>
        <w:t xml:space="preserve">8.2.1. </w:t>
      </w:r>
      <w:r w:rsidR="00DF4DA1" w:rsidRPr="00483D15">
        <w:rPr>
          <w:lang w:val="en-US"/>
        </w:rPr>
        <w:t>Systematic search and selection</w:t>
      </w:r>
      <w:bookmarkEnd w:id="66"/>
    </w:p>
    <w:p w14:paraId="7D4A7354" w14:textId="4549126E" w:rsidR="00E722A8" w:rsidRPr="00483D15" w:rsidRDefault="00E722A8" w:rsidP="0036711F">
      <w:pPr>
        <w:rPr>
          <w:lang w:val="en-US"/>
        </w:rPr>
      </w:pPr>
      <w:r w:rsidRPr="00483D15">
        <w:rPr>
          <w:lang w:val="en-US"/>
        </w:rPr>
        <w:t>The initial and un updated systematic literature search identified a total of 1,653 records. Following a two-stage screening process conducted independently by two reviewers—initially based on titles and abstracts, followed by full-text assessment—26 studies met the eligibility criteria and were included in the final analysis</w:t>
      </w:r>
      <w:r w:rsidR="00C25112" w:rsidRPr="00483D15">
        <w:rPr>
          <w:lang w:val="en-US"/>
        </w:rPr>
        <w:t xml:space="preserve"> (</w:t>
      </w:r>
      <w:r w:rsidR="00B2273A">
        <w:rPr>
          <w:lang w:val="en-US"/>
        </w:rPr>
        <w:fldChar w:fldCharType="begin"/>
      </w:r>
      <w:r w:rsidR="00B2273A">
        <w:rPr>
          <w:lang w:val="en-US"/>
        </w:rPr>
        <w:instrText xml:space="preserve"> REF _Ref204007231 \h </w:instrText>
      </w:r>
      <w:r w:rsidR="00B2273A">
        <w:rPr>
          <w:lang w:val="en-US"/>
        </w:rPr>
      </w:r>
      <w:r w:rsidR="00B2273A">
        <w:rPr>
          <w:lang w:val="en-US"/>
        </w:rPr>
        <w:fldChar w:fldCharType="separate"/>
      </w:r>
      <w:proofErr w:type="spellStart"/>
      <w:r w:rsidR="007F7DB3">
        <w:t>Figure</w:t>
      </w:r>
      <w:proofErr w:type="spellEnd"/>
      <w:r w:rsidR="007F7DB3">
        <w:t xml:space="preserve"> </w:t>
      </w:r>
      <w:r w:rsidR="007F7DB3">
        <w:rPr>
          <w:noProof/>
        </w:rPr>
        <w:t>17</w:t>
      </w:r>
      <w:r w:rsidR="00B2273A">
        <w:rPr>
          <w:lang w:val="en-US"/>
        </w:rPr>
        <w:fldChar w:fldCharType="end"/>
      </w:r>
      <w:r w:rsidR="00C25112" w:rsidRPr="00483D15">
        <w:rPr>
          <w:lang w:val="en-US"/>
        </w:rPr>
        <w:t>)</w:t>
      </w:r>
      <w:r w:rsidR="00BD573F">
        <w:rPr>
          <w:lang w:val="en-US"/>
        </w:rPr>
        <w:t xml:space="preserve"> </w:t>
      </w:r>
      <w:r w:rsidR="003B6301" w:rsidRPr="00483D15">
        <w:rPr>
          <w:lang w:val="en-US"/>
        </w:rPr>
        <w:fldChar w:fldCharType="begin"/>
      </w:r>
      <w:r w:rsidR="00814481">
        <w:rPr>
          <w:lang w:val="en-US"/>
        </w:rPr>
        <w:instrText xml:space="preserve"> ADDIN ZOTERO_ITEM CSL_CITATION {"citationID":"WkqdB9Kk","properties":{"formattedCitation":"[24,69\\uc0\\u8211{}93]","plainCitation":"[24,69–93]","noteIndex":0},"citationItems":[{"id":139,"uris":["http://zotero.org/users/local/L5HAWlIW/items/DEUWL29H"],"itemData":{"id":139,"type":"article-journal","abstract":"Accumulating evidence suggests that a patient subgroup with severe COVID-19 develops a cytokine release syndrome leading to capillary leakage and organ injury. Recent publications addressing therapy of cytokine storms recommended new extracorporeal therapies such as hemoadsorption. This case report describes a 59-year-old SARS-CoV-2-positive patient with severe ARDS. Due to severe hyperinflammation with concomitant hemodynamic instability and progressive renal failure, combination of continuous renal replacement and CytoSorb® hemoadsorption therapy was initiated. Treatment resulted immediately in a control of the hyperinflammatory response. Simultaneously, lung function continued to improve accompanied by profound hemodynamic stabilization. We report the successful utilization of CytoSorb® hemoadsorption in the treatment of a patient with SARS-CoV-2-induced cytokine storm syndrome.","container-title":"Case reports in critical care","DOI":"10.1155/2021/9937499","issue":"NA","note":"publisher: Hindawi Limited","page":"9937499-5","title":"CytoSorb® Hemoadsorption as a Promising Tool to Handle COVID-19-Induced Cytokine Storm.","volume":"2021","author":[{"family":"Acevedo","given":"Alice-Christin; Zoller","suffix":"Michael; Scharf, Christina; Liebchen, Uwe; Irlbeck, Michael; Schroeder, Ines"}],"issued":{"date-parts":[["2021"]]}}},{"id":162,"uris":["http://zotero.org/users/local/L5HAWlIW/items/ZEUANS5S"],"itemData":{"id":162,"type":"article-journal","abstract":"Background High morbidity and mortality are frequently reported in intensive care patients suffering from severe sepsis with systemic inflammation. With the development of severe respiratory failure, extracorporeal membrane oxygenation (ECMO) is often required. In this study, cytokine adsorption therapy in combination with ECMO is applied in patients with acute respiratory distress syndrome (ARDS) due to severe pneumogenic sepsis. The efficacy of this therapy is evaluated compared with a historical cohort without hemoadsorption therapy. Methods Between January and May 2018, combined high-flow venovenous ECMO and CytoSorb therapy (CytoSorb filter connected to ECMO circuit) was applied in patients (n = 13) with pneumogenic sepsis and ARDS. These patients were prospectively included (CytoSorb group). Data from patients (n = 7) with pneumogenic sepsis and ECMO therapy were retrospectively analyzed (control group). Results All patients survived in the CytoSorb group, where the 30-day mortality rate reached 57% in the control group. After CytoSorb therapy, we instantly observed a significant reduction in procalcitonin (PCT) and C-reactive protein (CRP) levels compared with the control group. Within 48 hours, the initial high doses of catecholamine could be weaned off only in the CytoSorb group. Conclusions Our results indicate that CytoSorb in combination with ECMO is an effective therapy to prevent escalation of sepsis with rapid weaning off high-dose catecholamine infusions and quick reduction in PCT and CRP levels. Optimal timing of immunomodulatory therapy and impact on ECMO-related inflammation still need to be furtherly investigated.","container-title":"The Thoracic and cardiovascular surgeon","DOI":"10.1055/s-0040-1708479","issue":"03","note":"publisher: Georg Thieme Verlag","page":"246-251","title":"Combined Use of CytoSorb and ECMO in Patients with Severe Pneumogenic Sepsis","volume":"69","author":[{"family":"Akil","given":"A; Ziegeler","suffix":"S; Reichelt, J; Rehers, Stephanie; Abdalla, Omer; Semik, Michael; Fischer, Stefan"}],"issued":{"date-parts":[["2020"]]}}},{"id":327,"uris":["http://zotero.org/users/local/L5HAWlIW/items/F8WHZXRB"],"itemData":{"id":327,"type":"article-journal","abstract":"&lt;AbstractText Label=\"OBJECTIVE\" NlmCategory=\"UNASSIGNED\"&gt;Patients with severe manifestations of COVID-19 might exhibit characteristics of a sepsis-like syndrome that can progress to multiple organ failure and ultimately death. Underlying mechanism have been explored and suggest a profound dysregulation of the immune system associated with hyperinflammation, hemodynamic instability and respiratory failure. Besides standard intensive care treatment, approaches modulating the dysregulated immune response, such as CytoSorb hemoadsorption, have been used. However, data of ECMO-dependent patients in comparison to a control cohort remain scarce.&lt;/AbstractText&gt; &lt;AbstractText Label=\"METHODS\" NlmCategory=\"UNASSIGNED\"&gt;Included were 26 critically ill COVID-19 patients requiring high-flow veno-venous extracorporeal membrane oxygenation (high-flow VV ECMO) therapy due to severe acute respiratory distress syndrome (ARDS), of whom 16 were additionally treated with an extracorporeal hemoadsorption device, and compared to a control group of 10 patients. Assessed were levels of inflammatory markers, vasopressor requirements, oxygenation parameters, as well as clinically relevant outcome variables. Data were prospectively recorded and retrospectively analyzed.&lt;/AbstractText&gt; &lt;AbstractText Label=\"RESULTS\" NlmCategory=\"UNASSIGNED\"&gt;Treatment with the applied multimodal therapy approach resulted in a stabilization in hemodynamics, a control of the hyperinflammatory response as evidenced by a significant reduction in inflammatory mediators, as well as a marked improvement in lung function. No device related adverse events were observed while treatment appeared safe and feasible.&lt;/AbstractText&gt; &lt;AbstractText Label=\"CONCLUSION\" NlmCategory=\"UNASSIGNED\"&gt;Treatment of a critically ill COVID-19 ARDS patients with combined VV ECMO support and hemoadsorption therapy led to a rapid and sustained hemodynamic stabilization, a control of the uncontrolled inflammatory response and an improvement in oxygenation. Given these signals pointing toward a patient-oriented benefit of extracorporeal hemoadsorption therapy in those patients, future controlled, randomized studies should focus on the investigation of the appropriate timing and dosing of this promising treatment modality.&lt;/AbstractText&gt;","container-title":"The International journal of artificial organs","DOI":"10.1177/03913988221103287","issue":"7","page":"615-622","title":"Blood purification therapy in patients with severe COVID-19 requiring veno-venous ECMO therapy: A retrospective study.","volume":"45","author":[{"family":"Akil","given":"Ali; Ziegeler","suffix":"Stephan; Rehers, Stephanie; Ernst, Erik Christian; Fischer, Stefan"}],"issued":{"date-parts":[["2022"]]}}},{"id":127,"uris":["http://zotero.org/users/local/L5HAWlIW/items/E7E286NV"],"itemData":{"id":127,"type":"article-journal","abstract":"AIM: To investigate continuous renal replacement therapy (CRRT) with CytoSorb® cartridge for patients with life-threatening COVID-19 plus acute kidney injury (AKI), sepsis, acute respiratory distress syndrome (ARDS), and cytokine release syndrome (CRS). PATIENTS AND METHODS: Of 492 COVID-19 patients admitted to our intensive care unit (ICU), 50 had AKI necessitating CRRT (10.16%) and were enrolled in the study. Upon ICU admission, all had AKI, ARDS, septic shock, and CRS. In addition to CRRT with CytoSorb® , all received ARDS-net ventilation, prone positioning, plus empiric ribavirin, interferon beta-1b, antibiotics, hydrocortisone, and prophylactic anticoagulation. We retrospectively analyzed inflammatory biomarkers, oxygenation, organ function, duration of mechanical ventilation, ICU length-of-stay, and mortality on day-28 post-ICU admission. RESULTS: Patients were 49.64 ±8.90 years old (78% male) with body mass index of 26.70±2.76 kg/m2 . On ICU admission, mean Acute Physiology and Chronic Health Evaluation II, was 22.52±1.1. Sequential Organ Function Assessment (SOFA) score was 9.36±2.068 and the ratio of partial arterial pressure of oxygen to fractional inspired concentration of oxygen (PaO2 /FiO2 ) was 117.46±36.92. Duration of mechanical ventilation was 17.38±7.39 days, ICU length-of-stay was 20.70±8.83 days, and mortality 28 days post-ICU admission was 30%. Non-survivors had higher levels of inflammatory biomarkers, and more unresolved shock, ARDS, AKI, and pulmonary emboli (8% vs. 4 %, p 620 pg/ml) predicted in-hospital mortality for critically ill COVID-19 patients (area-under-the-curve: 0.87, 95% confidence-intervals: 0.81-0.93; p=0.001). No side effects of therapy were recorded. CONCLUSION: In this retrospective case-series, CRRT with the CytoSorb® cartridge provided a safe rescue therapy in life-threatening COVID-19 with associated AKI, ARDS, sepsis, and hyperinflammation.","container-title":"Artificial organs","DOI":"10.1111/aor.13864","issue":"5","note":"publisher: Wiley-Blackwell","page":"E101-E112","title":"Continuous renal replacement therapy with the addition of CytoSorb ® cartridge in critically ill patients with COVID-19 plus acute kidney injury: a case-series.","volume":"45","author":[{"family":"Alharthy","given":"Abdulrahman; Faqihi","suffix":"Fahad; Memish, Ziad A.; Balhamar, Abdullah; Nasim, Nasir; Shahzad, Ahmad; Tamim, Hani; Alqahtani, Saleh A.; Brindley, Peter G.; Karakitsos, Dimitrios"}],"issued":{"date-parts":[["2020"]]}}},{"id":137,"uris":["http://zotero.org/users/local/L5HAWlIW/items/7EDRMVG5"],"itemData":{"id":137,"type":"article-journal","abstract":"The SARS-COV-2-19-associated respiratory involvement is caused by the massive release of inflammatory cytokines ultimately leading to interstitial pneumonia and acute respiratory distress syndrome (ARDS). In the absence of an effective antiviral treatment, a reasonable causal approach could be constituted by the neutralization of these substances. The authors describe the clinical course of a patient with SARS-COV-2-19 interstitial pneumonia treated with the combination of an anti-interleukin 6 (IL-6) agent (tocilizumab) and hemoadsorption (HA). This combination was used to abate the surge of inflammatory mediators leading to the lung damage. Blood levels of IL-6 and C-reactive protein (CRP) were measured before the initiation of the treatment and in the following 3 days. At the end of the treatment, the values of IL-6 and CRP decreased from 1,040 to 415 pg/mL and from 229 to 59 mg/L, respectively. The gas exchanges and the chest imaging rapidly improved, and the patient was extubated 10 days later. The combination of tocilizumab and HA could be valuable in the treatment of SARS-COV-2-19-associated pneumonia and ARDS that are caused by the release of inflammatory mediators.","container-title":"Nephron","DOI":"10.1159/000509738","issue":"9","note":"publisher: S. Karger AG","page":"459-462","title":"The Combined Use of Tocilizumab and Hemoadsorption in a Patient with SARS-COV-2-19-Associated Pneumonia: A Case Report.","volume":"144","author":[{"family":"Berlot","given":"Giorgio; Tomasini","suffix":"Ariella; Pognuz, Erik Roman; Randino, Anna; Chiella, Fabrizio; La Fata, Cristina; Piva, Marco; Amato, Paola; Di Maso, Vittorio; Bianco, Francesco; Gerini, Ugo; Tomietto, Paola; Trenti, Tommaso"}],"issued":{"date-parts":[["2020"]]}}},{"id":100,"uris":["http://zotero.org/users/local/L5HAWlIW/items/IXR45MVM"],"itemData":{"id":100,"type":"article-journal","abstract":"Objective:\n              To assess the variations of Interleukin-6 (IL-6) in patients with SARS-CoV-2 infection treated with Tocilizumab (TCZ) alone or in association with hemoadsorption (HA).\n            \n            \n              Design:\n              Retrospective.\n            \n            \n              Setting:\n              An Intensive Care Unit (ICU) admitting mechanically ventilated patients with SARS-CoV-2 pneumonia.\n            \n            \n              Patients:\n              Four adult patients.\n            \n            \n              Interventions:\n              \n                We compared the blood values of IL-6, C-reactive protein (CRP) and of other biochemical variables including the PaO\n                2\n                /FiO\n                2\n                in two patients who received TCZ alone and in other 2 in whom it was associated with the HA (TCZ-HA) due to the presence of impending or established organ failures other than the lung. All variables were measured before, during and after the treatment.\n              \n            \n            \n              Main results:\n              \n                In all patients, the IL-6 increased during the treatment; after its termination, its values sharply decreased only in those treated also with HA; conversely, the CRP decreased in all patients; the PaO\n                2\n                /FiO\n                2\n                increased in three patients and remained stable in the remaining one. Both the TCZ and the HA were well tolerated; all patients were weaned from the mechanical ventilation and discharged from the hospital.\n              \n            \n            \n              Limitations:\n              Although the limited number of patients does not allow to draw firm conclusions, the increase of the IL-6 of can be ascribed to its displacement from cellular and soluble receptors, whereas its decrease is likely due to the scavenging effect exerted by the HA. Although the association TCZ-HA could be valuable in the treatment of the Cytokine Release Storm (CRS) associated with the SARS-CoV-2, the HA could be more effective as it neutralizes a wider panel of inflammatory mediators.","container-title":"The International Journal of Artificial Organs","DOI":"10.1177/0391398821989334","ISSN":"0391-3988, 1724-6040","issue":"1","journalAbbreviation":"Int J Artif Organs","language":"en","page":"75-80","source":"DOI.org (Crossref)","title":"Effects of tocilizumab versus hemoadsorption combined with tocilizumab in patients with SARS-CoV-2 pneumonia: Preliminary results","title-short":"Effects of tocilizumab versus hemoadsorption combined with tocilizumab in patients with SARS-CoV-2 pneumonia","volume":"45","author":[{"family":"Berlot","given":"Giorgio"},{"family":"Pintacuda","given":"Stefania"},{"family":"Moro","given":"Edoardo"},{"family":"Paluzzano","given":"Giacomo"},{"family":"Scamperle","given":"Alice"},{"family":"Chillemi","given":"Antonino"},{"family":"Longo","given":"Irene"},{"family":"Dattola","given":"Roberto"},{"family":"Roman-Pognuz","given":"Erik"},{"family":"Tomasini","given":"Ariella"}],"issued":{"date-parts":[["2022",1]]}}},{"id":101,"uris":["http://zotero.org/users/local/L5HAWlIW/items/3Y4FF6JA"],"itemData":{"id":101,"type":"article-journal","container-title":"Journal of Intensive Care","DOI":"10.1186/s40560-017-0208-1","ISSN":"2052-0492","issue":"1","journalAbbreviation":"j intensive care","language":"en","page":"12","source":"DOI.org (Crossref)","title":"Effect of extracorporeal cytokine removal on vascular barrier function in a septic shock patient","volume":"5","author":[{"family":"David","given":"Sascha"},{"family":"Thamm","given":"Kristina"},{"family":"Schmidt","given":"Bernhard M. W."},{"family":"Falk","given":"Christine S."},{"family":"Kielstein","given":"Jan T."}],"issued":{"date-parts":[["2017",12]]}}},{"id":1031,"uris":["http://zotero.org/users/local/L5HAWlIW/items/XD3S8C9H"],"itemData":{"id":1031,"type":"article-journal","abstract":"BACKGROUND AND AIM: Patients with severe coronavirus disease 2019 (COVID-19) develop a profound cytokine-mediated pro-inflammatory response. This study  reports outcomes in 10 patients with COVID-19 supported on veno-venous  extracorporeal membrane oxygenation (VV-ECMO) who were selected for the emergency  use of a hemoadsorption column integrated in the ECMO circuit. MATERIALS AND  METHODS: Pre and posttreatment, clinical data, and inflammatory markers were  assessed to determine the safety and feasibility of using this system and to  evaluate the clinical effect. RESULTS: During hemoadsorption, median levels of  interleukin (IL)-2R, IL-6, and IL-10 decreased by 54%, 86%, and 64%,  respectively. Reductions in other markers were observed for lactate dehydrogenase  (-49%), ferritin (-46%), d-dimer (-7%), C-reactive protein (-55%), procalcitonin  (-76%), and lactate (-44%). Vasoactive-inotrope scores decreased significantly  over the treatment interval (-80%). The median hospital length of stay was 53  days (36-85) and at 90-days post cannulation, survival was 90% which was similar  to a group of patients without the use of hemoadsorption. CONCLUSIONS: Addition  of hemoadsorption to VV-ECMO in patients with severe COVID-19 is feasible and  reduces measured cytokine levels. However, in this small series, the precise  impact on the overall clinical course and survival benefit still remains unknown.","container-title":"Journal of cardiac surgery","DOI":"10.1111/jocs.15785","ISSN":"1540-8191 0886-0440","issue":"11","journalAbbreviation":"J Card Surg","language":"eng","license":"© 2021 Wiley Periodicals LLC.","note":"publisher-place: United States\nPMID: 34219277 \nPMCID: PMC8447331","page":"4256-4264","title":"Hemoadsorption for management of patients on veno-venous ECMO support for severe COVID-19 acute respiratory distress syndrome.","volume":"36","author":[{"family":"Geraci","given":"Travis C."},{"family":"Kon","given":"Zachary N."},{"family":"Moazami","given":"Nader"},{"family":"Chang","given":"Stephanie H."},{"family":"Carillo","given":"Julius"},{"family":"Chen","given":"Stacey"},{"family":"Fargnoli","given":"Anthony"},{"family":"Alimi","given":"Marjan"},{"family":"Pass","given":"Harvey"},{"family":"Galloway","given":"Aubrey"},{"family":"Smith","given":"Deane E."}],"issued":{"date-parts":[["2021",11]]}}},{"id":104,"uris":["http://zotero.org/users/local/L5HAWlIW/items/TX4ESU6G"],"itemData":{"id":104,"type":"article-journal","abstract":"The COVID-19 pandemic has caused multiple deaths worldwide. Since no specific therapies are currently available, treatment for critically ill patients with COVID-19 is supportive. The most severe patients need sustained life support for recovery. We herein describe the course of a critically ill COVID-19 patient with multi-organ failure, including acute respiratory failure, acute kidney injury, and fulminant cytokine release syndrome (CRS), who required mechanical ventilation and extracorporeal membrane oxygenation support. This patient with a predicted high mortality risk was successfully managed with a careful strategy of oxygenation, uremic toxin removal, hemodynamic support, and most importantly, cytokine-targeted intervention for CRS, including cytokine/endotoxin removal, anti-cytokine therapy, and immune modulation. Comprehensive cytokine data, CRS parameters, and biochemical data of extracorporeal removal were provided to strengthen the rationale of this strategy. In this report, we demonstrate that timely combined hemoperfusion with cytokine adsorptive capacity and anti-cytokine therapy can successfully treat COVID-19 patients with fulminant CRS. It also highlights the importance of implementing cytokine-targeted therapy for severe COVID-19 guided by the precise measurement of disease activity.","container-title":"Frontiers in Medicine","DOI":"10.3389/fmed.2021.649583","ISSN":"2296-858X","journalAbbreviation":"Front. Med.","page":"649583","source":"DOI.org (Crossref)","title":"Successful Treatment of a Critically Ill COVID-19 Patient Using Continuous Renal Replacement Therapy With Enhanced Cytokine Removal and Tocilizumab: A Case Report","title-short":"Successful Treatment of a Critically Ill COVID-19 Patient Using Continuous Renal Replacement Therapy With Enhanced Cytokine Removal and Tocilizumab","volume":"8","author":[{"family":"Huang","given":"Thomas Tao-Min"},{"family":"Chien","given":"Ying-Chun"},{"family":"Wang","given":"Chih-Hsien"},{"family":"Chang","given":"Sui-Yuan"},{"family":"Wang","given":"Jann-Tay"},{"family":"Hsieh","given":"Song-Chou"},{"family":"Yeh","given":"Yu-Chang"},{"family":"Ku","given":"Shih-Chi"},{"family":"Yu","given":"Chong-Jen"},{"family":"Chiang","given":"Bor-Luen"},{"family":"Chang","given":"Shan-Chwen"},{"family":"Tolwani","given":"Ashita"}],"issued":{"date-parts":[["2021",6,7]]}}},{"id":106,"uris":["http://zotero.org/users/local/L5HAWlIW/items/P8UURMI3"],"itemData":{"id":106,"type":"article-journal","abstract":"Introduction\n              Acute respiratory distress syndrome in the context of severe sepsis and septic shock represents a serious clinical disorder. A recent case series in patients with septic shock and renal failure receiving hemoadsorption treatment showed rapid hemodynamic stabilization and increased survival, particularly in pneumonia patients and in those where therapy was started early. We hypothesized that patients suffering from pneumonia and refractory acute respiratory distress syndrome to the extent that they required extracorporeal membrane oxygenation support could possibly demonstrate the most pronounced benefit from the treatment.\n            \n            \n              Methods\n              We assessed the association of hemoadsorption treatment with hemodynamics, ventilation, and outcome variables in a set of patients with septic shock, acute respiratory distress syndrome, need for veno-venous extracorporeal membrane oxygenation, and continuous renal replacement therapy.\n            \n            \n              Results\n              Key observations include a significant stabilization in hemodynamics as evidenced by a marked decrease in catecholamine need, which was paralleled by a clear reduction in hyperlactatemia. Respiratory variables improved significantly. In addition, severity of illness and overall organ dysfunction showed a considerable decrease during the course of treatment. Observed mortality was approximately half as predicted by APACHE II. Treatment with CytoSorb was safe and well tolerated with no device-related adverse events.\n            \n            \n              Discussion\n              This is the first case series reporting on outcome variables associated to CytoSorb therapy in critically ill patients with septic shock, acute respiratory distress syndrome, veno-venous extracorporeal membrane oxygenation, and continuous renal replacement therapy. Based on our observations in this small case series, CytoSorb might represent a potentially promising therapy option for patients with refractory extracorporeal membrane oxygenation-dependent acute respiratory distress syndrome in the context of septic shock.","container-title":"Journal of the Intensive Care Society","DOI":"10.1177/1751143718818992","ISSN":"1751-1437","issue":"2","journalAbbreviation":"Journal of the Intensive Care Society","language":"en","page":"183-190","source":"DOI.org (Crossref)","title":"Use of hemoadsorption in sepsis-associated ECMO-dependent severe ARDS: A case series","title-short":"Use of hemoadsorption in sepsis-associated ECMO-dependent severe ARDS","volume":"21","author":[{"family":"Kogelmann","given":"Klaus"},{"family":"Scheller","given":"Morten"},{"family":"Drüner","given":"Matthias"},{"family":"Jarczak","given":"Dominik"}],"issued":{"date-parts":[["2020",5]]}}},{"id":103,"uris":["http://zotero.org/users/local/L5HAWlIW/items/BBLZGS4P"],"itemData":{"id":103,"type":"article-journal","abstract":"Introduction: Sepsis and septic shock are severe disorders, often with a high rate of mortality. In these conditions, hemadsorption devices can be important adjuvants to support conventional therapy. Case presentation: In this work, we describe the case of a critical patient with severe comorbidities and suffering from septic shock caused by multiresistant Klebsiella pneumonia. Conclusion: In this case, such device helped in weaning the patient from vasopressors, stabilizing the haemodynamic, and in reducing circulating proinflammatory cytokines levels, leading to an early discharge. rocess and EBV/CMV infection.","container-title":"Acta Medica Mediterranea","DOI":"10.19193/0393-6384_2019_5_397","ISSN":"0393-6384","issue":"5","language":"eng","page":"2533-2535","source":"DOI.org (CSL JSON)","title":"USE OF CYTOSORB IN A CARDIOPATHIC PATIENT SUFFERING FROM SEPTIC SHOCK, MULTIPLE ORGAN FAILURE AND ACUTE RESPIRATORY DISTRESS SYNDROME. THE CASE OF A CENTER IN CATANIA (ITALY)","author":[{"family":"LA CAMERA","given":"GIUSEPPA"}],"issued":{"date-parts":[["2019",0,29]]}}},{"id":110,"uris":["http://zotero.org/users/local/L5HAWlIW/items/IN9JR7RT"],"itemData":{"id":110,"type":"article-journal","container-title":"Journal of Artificial Organs","DOI":"10.1007/s10047-016-0915-8","ISSN":"1434-7229, 1619-0904","issue":"4","journalAbbreviation":"J Artif Organs","language":"en","page":"399-402","source":"DOI.org (Crossref)","title":"Combination of ECMO and cytokine adsorption therapy for severe sepsis with cardiogenic shock and ARDS due to Panton–Valentine leukocidin—positive Staphylococcus aureus pneumonia and H1N1","volume":"19","author":[{"family":"Lees","given":"Nj"},{"family":"Rosenberg","given":"Ajp"},{"family":"Hurtado-Doce","given":"Ai"},{"family":"Jones","given":"J"},{"family":"Marczin","given":"N"},{"family":"Zeriouh","given":"M"},{"family":"Weymann","given":"A"},{"family":"Sabashnikov","given":"A"},{"family":"Simon","given":"Ar"},{"family":"Popov","given":"Af"}],"issued":{"date-parts":[["2016",12]]}}},{"id":111,"uris":["http://zotero.org/users/local/L5HAWlIW/items/Z6X7SHRZ"],"itemData":{"id":111,"type":"article-journal","container-title":"Frontiers in Cardiovascular Medicine","DOI":"10.3389/fcvm.2019.00071","ISSN":"2297-055X","journalAbbreviation":"Front. Cardiovasc. Med.","page":"71","source":"DOI.org (Crossref)","title":"Cytokine Adsorption in Critically Ill Patients Requiring ECMO Support","volume":"6","author":[{"family":"Lother","given":"Achim"},{"family":"Benk","given":"Christoph"},{"family":"Staudacher","given":"Dawid L."},{"family":"Supady","given":"Alexander"},{"family":"Bode","given":"Christoph"},{"family":"Wengenmayer","given":"Tobias"},{"family":"Duerschmied","given":"Daniel"}],"issued":{"date-parts":[["2019",6,4]]}}},{"id":113,"uris":["http://zotero.org/users/local/L5HAWlIW/items/PY5YV5F5"],"itemData":{"id":113,"type":"article-journal","container-title":"Artificial Organs","DOI":"10.1111/aor.14024","ISSN":"0160-564X, 1525-1594","issue":"11","journalAbbreviation":"Artificial Organs","language":"en","page":"1338-1347","source":"DOI.org (Crossref)","title":"Blood purification with CytoSorb in critically ill COVID‐19 patients: A case series of 26 patients","title-short":"Blood purification with CytoSorb in critically ill COVID‐19 patients","volume":"45","author":[{"family":"Nassiri","given":"Amir Ahmad"},{"family":"Hakemi","given":"Monir Sadat"},{"family":"Miri","given":"Mir Mohammad"},{"family":"Shahrami","given":"Reza"},{"family":"Koomleh","given":"Azadeh Ahmadi"},{"family":"Sabaghian","given":"Tahereh"}],"issued":{"date-parts":[["2021",11]]}}},{"id":115,"uris":["http://zotero.org/users/local/L5HAWlIW/items/5EU58R2Z"],"itemData":{"id":115,"type":"article-journal","abstract":"Objective:\n              To describe the experience with CytoSorb treatment in patients with refractory acute respiratory distress syndrome (ARDS) following SARS-CoV-2 infection.\n            \n            \n              Methods:\n              Retrospective observational study on 15 patients treated in a University Hospital.\n            \n            \n              Results:\n              All patients were male, with a mean age of 55 ± 14 years; eight patients (53%) were on venovenous extracorporeal membrane oxygenation (VV ECMO) due to refractory ARDS and all (100%) under mechanical ventilation at the time of CytoSorb use. We observed reduction in the level of C reactive protein (−52%, p = 0.002), total bilirubin (−46%, p = 0.03), direct bilirubin (−50%, p = 0.02), and D-dimers (−39%, p = 0.04) during CytoSorb treatment and a trend toward reduction in lactate dehydrogenase (−20%, p = 0.2), creatine phosphokinase (−38%, p = 0.1), and fibrinogen (−15%, p = 0.07). Eight patients died (53%) and seven (47%) were discharged from the ICU, of which five had recovery of the native lung function and two were successfully bridged to lung transplantation on VV ECMO support. No difference between survivors and non-survivors was present at baseline. Patients received three CytoSorb cycles on average: mean duration of CytoSorb cycle was 17 h 21 min, but premature circuit clotting despite appropriate level of systemic anticoagulation was frequently observed.\n            \n            \n              Conclusions:\n              CytoSorb treatment was effective in improving several laboratory parameters and inflammation in our experience and no treatment-related adverse effects were recorded. In the light of the unique pathophysiology of SARS-CoV-2 infection, CytoSorb treatment is extremely promising, since it might both reduce inflammation and activation of coagulation.","container-title":"The International Journal of Artificial Organs","DOI":"10.1177/03913988211052572","ISSN":"0391-3988, 1724-6040","issue":"2","journalAbbreviation":"Int J Artif Organs","language":"en","page":"216-220","source":"DOI.org (Crossref)","title":"CytoSorb purification in critically ill SARS-CoV-2 patients","volume":"45","author":[{"family":"Pieri","given":"Marina"},{"family":"Fominskiy","given":"Evgeny"},{"family":"Nardelli","given":"Pasquale"},{"family":"Bonizzoni","given":"Matteo A"},{"family":"Scandroglio","given":"Anna M"}],"issued":{"date-parts":[["2022",2]]}}},{"id":116,"uris":["http://zotero.org/users/local/L5HAWlIW/items/6XG6DV7F"],"itemData":{"id":116,"type":"article-journal","abstract":"We present the case of a patient who suffered from acute respiratory distress syndrome caused by pneumonia associated with COVID-19 and cytokine release syndrome. This patient received a high-volume hemofiltration plus adsorption, solving the hemodynamic deterioration, pulmonary infiltrates, and gas exchange. Our clinical case proposes that the extracorporeal therapies can have a role in the management of severe COVID-19.","container-title":"Blood Purification","DOI":"10.1159/000512982","ISSN":"0253-5068, 1421-9735","issue":"4-5","journalAbbreviation":"Blood Purif","language":"en","page":"575-577","source":"DOI.org (Crossref)","title":"Early Cytokine Removal in Critical COVID-19 Patients with Extracorporeal Therapies (HA-380 plus High Volume Hemofiltration) May Prevent Progression of Acute Respiratory Distress Syndrome: Case Report","title-short":"Early Cytokine Removal in Critical COVID-19 Patients with Extracorporeal Therapies (HA-380 plus High Volume Hemofiltration) May Prevent Progression of Acute Respiratory Distress Syndrome","volume":"50","author":[{"family":"Ramírez-Guerrero","given":"Gonzalo"},{"family":"Torres Cifuentes","given":"Vicente"},{"family":"Baghetti Hernández","given":"Romyna"},{"family":"Villagrán Cortés","given":"Francisco"},{"family":"Rojas Doll","given":"Simón"},{"family":"Oliva Alarcón","given":"Rocio"},{"family":"Lucero Córdova","given":"Cristian"},{"family":"Flores Fernandez","given":"Pablo"},{"family":"Garay Coloma","given":"Osvaldo"}],"issued":{"date-parts":[["2021"]]}}},{"id":1207,"uris":["http://zotero.org/users/local/L5HAWlIW/items/7L5U4LWW"],"itemData":{"id":1207,"type":"article-journal","abstract":"We report a preliminary experience of adjuvant therapy with Hemoperfusion (HP) in patients with Severe Acute Respiratory Syndrome-CoronaVirus 2 (SARS-CoV2)  pneumonia. Currently, there are no approved treatments for CoronaVirus Disease 19  (COVID-19); however, therapeutic strategies based on the preclinical evidence  include supportive measures, such as oxygen supplementation, antiviral, and  anticoagulant agents. Despite these treatments, 10% of patients worsen and  develop severe acute respiratory distress syndrome (ARDS). Since the pathogenic  mechanism of ARDS is an uncontrolled inflammatory state, we speculate that  removing inflammation effectors from blood may contrast tissue injury and improve  clinical outcome. In a scenario of dramatic medical emergency, we conducted an  observational study on 9 consecutive patients hospitalized in COVID Intensive  Care Unit, where 5 of 9 consecutive patients were treated with HP, due to the  emergency overload made it impossible to deliver blood purification in the other  4 patients. COVID-19 was diagnosed through the identification of virus sequences  by reverse transcription-PCR on respiratory specimens. All patients had severe  pneumonia requiring continuous positive airway pressure. HP was started in all  patients 6-7 days after hospital admission. The treated patients (T) received 2  consecutive sessions of HP using CytoSorb cartridge. Our results show a better  clinical course of T compared to control patients (C), in fact all T except 1  survived, and only 2 of them were intubated, while all C required intubation and  died. Lymphocytopenia worsened in C but not in T. C-reactive protein decreased in  both patients, but to a greater extent in T. IL-6, IL-8, and TNF-α decreased  after HP, IL-10 did not change. Respiratory function remained stable and did not  worsen in T compared to C. The limited sample size and observational study design  preclude a sound statement about the potential effectiveness of HP in COVID-19  patients, but our experience suggests a potential therapeutic role of adjuvant  CytoSorb HP in the early course of CO-VID-19 pneumonia. A randomized clinical  trial is ongoing.","container-title":"Blood purification","DOI":"10.1159/000511725","ISSN":"1421-9735 0253-5068","issue":"4-5","journalAbbreviation":"Blood Purif","language":"eng","license":"The Author(s). Published by S. Karger AG, Basel.","note":"publisher-place: Switzerland\nPMID: 33181508 \nPMCID: PMC7705939","page":"566-571","title":"Hemoperfusion with CytoSorb as Adjuvant Therapy in Critically Ill Patients with SARS-CoV2 Pneumonia.","volume":"50","author":[{"family":"Rampino","given":"Teresa"},{"family":"Gregorini","given":"Marilena"},{"family":"Perotti","given":"Luciano"},{"family":"Ferrari","given":"Fiorenza"},{"family":"Pattonieri","given":"Eleonora Francesca"},{"family":"Grignano","given":"Maria Antonietta"},{"family":"Valente","given":"Mauro"},{"family":"Garrone","given":"Alberto"},{"family":"Islam","given":"Tefik"},{"family":"Libetta","given":"Carmelo"},{"family":"Sepe","given":"Vincenzo"},{"family":"Albertini","given":"Riccardo"},{"family":"Bruno","given":"Raffaele"},{"family":"Belliato","given":"Mirko"}],"issued":{"date-parts":[["2021"]]}}},{"id":118,"uris":["http://zotero.org/users/local/L5HAWlIW/items/P3LRKA7P"],"itemData":{"id":118,"type":"article-journal","container-title":"Artificial Organs","DOI":"10.1111/aor.13805","ISSN":"0160-564X, 1525-1594","issue":"2","journalAbbreviation":"Artif. Organs","language":"en","page":"191-194","source":"DOI.org (Crossref)","title":"Cytokine adsorption in a patient with severe coronavirus disease 2019 related acute respiratory distress syndrome requiring extracorporeal membrane oxygenation therapy: A case report","title-short":"Cytokine adsorption in a patient with severe coronavirus disease 2019 related acute respiratory distress syndrome requiring extracorporeal membrane oxygenation therapy","volume":"45","author":[{"family":"Rieder","given":"Marina"},{"family":"Zahn","given":"Timm"},{"family":"Benk","given":"Christoph"},{"family":"Lother","given":"Achim"},{"family":"Bode","given":"Christoph"},{"family":"Staudacher","given":"Dawid"},{"family":"Duerschmied","given":"Daniel"},{"family":"Supady","given":"Alexander"}],"issued":{"date-parts":[["2021",2]]}}},{"id":1215,"uris":["http://zotero.org/users/local/L5HAWlIW/items/DMEYEHSA"],"itemData":{"id":1215,"type":"article-journal","abstract":"COVID-19 is a pandemic that has affected not only the United States, but the entire world. The impact it has had has overwhelmed the entire healthcare system,  from the unknown carrier status, poor testing capabilities to hospitals running  out of ventilators for severely ill patients. There has been a variety of  potential treatment modalities for the various forms of illness ranging from  asymptomatic carriers to the ventilated ICU patients. These include  anti-inflammatory medications, antibiotics, immune-modulators, convalescent  plasma, and others. The cytokine storm that inflicts some patients can be  devastating to the vital organs of the human body in the form of acute  respiratory distress syndrome (ARDS), renal failure, coagulopathy, and death.  Cytosorbents® cytokine filter is a potential treatment methodology aimed at  reducing the cytokine storm, thus serving as a bridge for therapy in the acutely  ill patients infected with COVID-19. The following case report demonstrates the  utility in a critically ill patient who survived the cytokine storm after  receiving the cytokine filter via continuous renal replacement therapy bridging  him to further definitive therapy.","container-title":"Heart &amp; lung : the journal of critical care","DOI":"10.1016/j.hrtlng.2020.09.007","ISSN":"1527-3288 0147-9563","issue":"1","journalAbbreviation":"Heart Lung","language":"eng","license":"Copyright © 2020 The Authors. Published by Elsevier Inc. All rights reserved.","note":"publisher-place: United States\nPMID: 33041058 \nPMCID: PMC7500900","page":"44-50","title":"Cytosorb filter: An adjunct for survival in the COVID-19 patient in cytokine storm? a case report.","volume":"50","author":[{"family":"Rizvi","given":"Saniya"},{"family":"Danic","given":"Michael"},{"family":"Silver","given":"Mark"},{"family":"LaBond","given":"Virginia"}],"issued":{"date-parts":[["2021",2]]}}},{"id":331,"uris":["http://zotero.org/users/local/L5HAWlIW/items/ISGUAB37"],"itemData":{"id":331,"type":"article-journal","abstract":"Respiratory failure and systemic inflammation are paramount features of severe SARS-CoV-2 disease (COVID-19). Extracorporeal membrane oxygenation (ECMO) therapy has a potential role in patients with refractory disease. An inflammatory response due to blood contact with hemofilters, functioning as a synergic inflammatory stimulus, can lead to a hyperinflammatory state, relatable to cytokine release syndromes. After the first patient succumbed to a refractory vasodilatory shock believed to be due to hyperinflammatory state, a strategy of blood purification through cytokine adsorption therapy (CAT) with CytoSorb® was designed. In this case series, the authors describe the initial experience with such strategy. CAT was employed with no direct complications and helped controlling the inflammatory state, with all patients halting vasopressor support in 72 h and biomarker levels (C-reactive protein, ferritin, and interleukin-6) showing negative trends in most patients. Analysis of inflammatory biomarkers evolution highlighted 2 biomarker profiles related to the presence or absence of superinfection at the time of CAT implementation. In this case series of severe COVID-19 patients, 3 patients died - irreversible lung fibrosis, complications of critical hypoxemia before ECMO induction and complications of systemic anticoagulation were the causes. This case series aimed to contribute to the body of evidence substantiating CAT utilization in hyperinflammatory patients, namely, COVID-19 patients requiring ECMO rescue.","container-title":"Blood purification","DOI":"10.1159/000518712","issue":"9","page":"1-7","title":"Cytokine Adsorption Therapy during Extracorporeal Membrane Oxygenation in Adult Patients with COVID-19.","volume":"51","author":[{"family":"Rodeia","given":"Simão C; Martins","suffix":"Francisca Lopes; Fortuna, Philip; Bento, Luís"}],"issued":{"date-parts":[["2021"]]}}},{"id":421,"uris":["http://zotero.org/users/local/L5HAWlIW/items/CBZA97VA"],"itemData":{"id":421,"type":"article-journal","abstract":"BACKGROUND: We sought to clarify the benefit of cytokine adsorption in patients with COVID-19 supported with venovenous extracorporeal membrane oxygenation (ECMO). METHODS: We did a single-centre, open-label, randomised, controlled trial to investigate cytokine adsorption in adult patients with severe COVID-19 pneumonia requiring ECMO. Patients with COVID-19 selected for ECMO at the Freiburg University Medical Center (Freiburg, Germany) were randomly assigned (1:1) to receive cytokine adsorption using the CytoSorb device or not. Randomisation was computer-generated, allocation was concealed by opaque, sequentially numbered sealed envelopes. The CytoSorb device was incorporated into the ECMO circuit before connection to the patient circuit, replaced every 24 h, and removed after 72 h. The primary endpoint was serum interleukin-6 (IL-6) concentration 72 h after initiation of ECMO analysed by intention to treat. Secondary endpoints included 30-day survival. The trial is registered with ClinicalTrials.gov (NCT04324528) and the German Clinical Trials Register (DRKS00021300) and is closed. FINDINGS: From March 29, 2020, to Dec 29, 2020, of 34 patients assessed for eligibility, 17 (50%) were treated with cytokine adsorption and 17 (50%) without. Median IL-6 decreased from 357·0 pg/mL to 98·6 pg/mL in patients randomly assigned to cytokine adsorption and from 289·0 pg/mL to 112·0 pg/mL in the control group after 72 h. One patient in each group died before 72 h. Adjusted mean log IL-6 concentrations after 72 h were 0·30 higher in the cytokine adsorption group (95% CI -0·70 to 1·30, p=0·54). Survival after 30 days was three (18%) of 17 with cytokine adsorption and 13 (76%) of 17 without cytokine adsorption (p=0·0016). INTERPRETATION: Early initiation of cytokine adsorption in patients with severe COVID-19 and venovenous ECMO did not reduce serum IL-6 and had a negative effect on survival. Cytokine adsorption should not be used during the first days of ECMO support in COVID-19. FUNDING: None.","container-title":"The Lancet. Respiratory medicine","DOI":"10.1016/s2213-2600(21)00177-6","issue":"7","page":"755-762","title":"Cytokine adsorption in patients with severe COVID-19 pneumonia requiring extracorporeal membrane oxygenation (CYCOV): a single centre, open-label, randomised, controlled trial.","volume":"9","author":[{"family":"Supady","given":"Alexander; Weber","suffix":"Enya; Rieder, Marina; Lother, Achim; Niklaus, Tim; Zahn, Timm; Frech, Franziska; Müller, Sissi; Kuhl, Moritz; Benk, Christoph; Maier, Sven; Trummer, Georg; Flügler, Annabelle; Krüger, Kirsten; Sekandarzad, Asieb; Stachon, Peter; Zotzmann, Viviane; Bode, Christoph; Biever, Paul; Staudacher, Dawid L.; Wengenmayer, Tobias; Graf, Erika; Duerschmied, Daniel"}],"issued":{"date-parts":[["2021"]]}}},{"id":121,"uris":["http://zotero.org/users/local/L5HAWlIW/items/Z3K38L5J"],"itemData":{"id":121,"type":"article-journal","abstract":"A 45-year-old male was admitted to our hospital with a small bowel obstruction due to torsion and was immediately scheduled for surgical intervention. At anesthesia induction, the patient aspirated and subsequently developed a severe SIRS with ARDS and multiple organ failure requiring the use of ECMO, CRRT, antibiotics, and low dose steroids. Due to a rapid deterioration in clinical status and a concurrent surge in inflammatory biomarkers, an extracorporeal cytokine adsorber (CytoSorb) was added to the CRRT blood circuit. The combined treatment resulted in a rapid and significant reduction in the levels of circulating inflammatory mediators. This decrease was paralleled by marked clinical stabilization of the patient including a significant improvement in hemodynamic stability and a reduced need for norepinephrine and improved respiratory function as measured by PaO\n              2\n              /FIO\n              2\n              , ventilator parameters, lung mechanics, and indirect measures of capillary leak syndrome. The patient could be discharged to a respiratory weaning unit where successful respiratory weaning could be achieved later on. We attribute the clinical improvement to the rapid control of the hyperinflammatory response and the reduction of inflammatory mediators using a combination of CytoSorb and these other therapies. CytoSorb treatment was safe and well tolerated, with no device-related adverse effects observed.","container-title":"Case Reports in Critical Care","DOI":"10.1155/2016/9852073","ISSN":"2090-6420, 2090-6439","journalAbbreviation":"Case Reports in Critical Care","language":"en","page":"1-4","source":"DOI.org (Crossref)","title":"Cytokine Reduction in the Setting of an ARDS-Associated Inflammatory Response with Multiple Organ Failure","volume":"2016","author":[{"family":"Träger","given":"Karl"},{"family":"Schütz","given":"Christian"},{"family":"Fischer","given":"Günther"},{"family":"Schröder","given":"Janpeter"},{"family":"Skrabal","given":"Christian"},{"family":"Liebold","given":"Andreas"},{"family":"Reinelt","given":"Helmut"}],"issued":{"date-parts":[["2016"]]}}},{"id":123,"uris":["http://zotero.org/users/local/L5HAWlIW/items/DPFNXMPY"],"itemData":{"id":123,"type":"article-journal","container-title":"ASAIO Journal","DOI":"10.1097/MAT.0000000000000197","ISSN":"1058-2916","issue":"3","language":"en","page":"e14-e16","source":"DOI.org (Crossref)","title":"Cytosorb™ in a Patient with Legionella Pneumonia–Associated Rhabdomyolysis: A Case Report","title-short":"Cytosorb™ in a Patient with Legionella Pneumonia–Associated Rhabdomyolysis","volume":"61","author":[{"family":"Wiegele","given":"Marion"},{"family":"Krenn","given":"Claus G."}],"issued":{"date-parts":[["2015",5]]}}},{"id":124,"uris":["http://zotero.org/users/local/L5HAWlIW/items/PXLFIR4H"],"itemData":{"id":124,"type":"article-journal","abstract":"Introduction:\n              Severe cases of the COVID-19 are often associated with the development of a fulminant sepsis-like state with a concomitant cytokine release syndrome. Recently, immunomodulating approaches to treat such a hyperinflammation have come into focus, including the use of new extracorporeal organ support therapies such as CytoSorb hemoadsorption designed to remove cytokines and other circulating mediators from blood.\n            \n            \n              Patients and methods:\n              Thirteen critically ill COVID-19 patients with ARDS who received either ECMO therapy and/or CRRT with concomitant multiple organ failure were included. Hemoadsorption therapy was initiated once the patient had established—or was at high risk of developing—a hyperinflammatory state with marked hemodynamic instability or progressive lung failure. Levels of inflammatory markers, vasopressor requirements, oxygenation, and ventilation parameters were measured, as well as clinically relevant outcome measures.\n            \n            \n              Results:\n              Combined therapy was associated with a significant reduction in inflammatory mediators, hemodynamic stabilization with a concomitant decrease in requirements for vasoactive substances, and a pronounced improvement in lung function and the need for ventilatory support. Treatment appeared safe and well-tolerated.\n            \n            \n              Conclusions:\n              In this case series of SARS-CoV-2 infected patients admitted to the intensive care unit with ARDS, we report effective interleukin (IL)-6 removal, reduced norepinephrine requirement, and improved lung function while receiving adjuvant, extracorporeal hemoadsorption therapy in the context of a multimodal treatment approach. The presented protocol for CytoSorb initiation may be a good foundation for the development of further prospective studies in the field and may eventually also be applied to other forms of hyperinflammatory ARDS.","container-title":"The International Journal of Artificial Organs","DOI":"10.1177/03913988211030517","ISSN":"0391-3988, 1724-6040","issue":"10","journalAbbreviation":"Int J Artif Organs","language":"en","page":"694-702","source":"DOI.org (Crossref)","title":"Adjuvant hemoadsorption therapy in patients with severe COVID-19 and related organ failure requiring CRRT or ECMO therapy: A case series","title-short":"Adjuvant hemoadsorption therapy in patients with severe COVID-19 and related organ failure requiring CRRT or ECMO therapy","volume":"44","author":[{"family":"Wunderlich-Sperl","given":"Florian"},{"family":"Kautzky","given":"Sebastian"},{"family":"Pickem","given":"Christian"},{"family":"Hörmann","given":"Christoph"}],"issued":{"date-parts":[["2021",10]]}}},{"id":907,"uris":["http://zotero.org/users/local/L5HAWlIW/items/KNHRHBVD"],"itemData":{"id":907,"type":"article-journal","container-title":"Therapeutic Apheresis and Dialysis","DOI":"10.1111/j.1744-9987.2012.01083.x","ISSN":"17449979","issue":"4","journalAbbreviation":"Ther Apher Dial","language":"en","page":"454-461","source":"DOI.org (Crossref)","title":"Effect on Extrapulmonary Sepsis-Induced Acute Lung Injury by Hemoperfusion With Neutral Microporous Resin Column: Effect of Hemoperfusion on Sepsis","title-short":"Effect on Extrapulmonary Sepsis-Induced Acute Lung Injury by Hemoperfusion With Neutral Microporous Resin Column","volume":"17","author":[{"family":"Huang","given":"Zhao"},{"family":"Wang","given":"Si-rong"},{"family":"Yang","given":"Zi-li"},{"family":"Liu","given":"Ji-yun"}],"issued":{"date-parts":[["2013",8]]}}},{"id":108,"uris":["http://zotero.org/users/local/L5HAWlIW/items/2ZK33AUT"],"itemData":{"id":108,"type":"article-journal","abstract":"Acute respiratory distress syndrome is an acute inflammatory lung process, which leads to protein-rich nonhydrostatic pulmonary edema, refractory hypoxemia, and lung \"stiffness\". There are a number of therapies that are currently being investigated in the treatment of sepsis; one of the most promising treatment options at this moment is cytokine removal by hemoperfusion (CytoSorb®). We present the case of a 29-year-old male patient who was admitted to the Medical Intensive Care Unit in a state of multiple organ dysfunction and massive bilateral pneumonia caused by influenza type A. The patient was healthy before hospital admission. Due to acute respiratory failure and altered state of consciousness, the patient was intubated using analgosedation and connected to a controlled mechanical ventilation mode immediately after admission. The initial computed tomography scan showed massive bilateral pneumonia, and few days later, the patient's condition progressively worsened and he developed signs of multiorgan failure. Given the patient's progressing hemodynamic instability and uncontrolled inflammatory response, a CytoSorb® adsorber was added into the continuous renal replacement therapy circuit. The combination of pharmacotherapy, supportive measures, and application of CytoSorb® resulted with complete recovery of the patient (hemodynamic stability improved as evidenced by decreased vasopressor requirements).","container-title":"International Journal of Critical Illness and Injury Science","DOI":"10.4103/IJCIIS.IJCIIS_56_20","ISSN":"2229-5151","issue":"4","journalAbbreviation":"Int J Crit Illn Inj Sci","language":"eng","note":"PMID: 33850832\nPMCID: PMC8033202","page":"216-219","source":"PubMed","title":"Use of CytoSorb® as a therapeutic option in a critically ill patient with acute respiratory distress syndrome caused by influenza A (H1N1) pneumonia: A case report","title-short":"Use of CytoSorb® as a therapeutic option in a critically ill patient with acute respiratory distress syndrome caused by influenza A (H1N1) pneumonia","volume":"10","author":[{"family":"Kovacevic","given":"Pedja"},{"family":"Tomic","given":"Boris"},{"family":"Kovacevic","given":"Tijana"},{"family":"Dragic","given":"Sasa"}],"issued":{"date-parts":[["2020"]]}}}],"schema":"https://github.com/citation-style-language/schema/raw/master/csl-citation.json"} </w:instrText>
      </w:r>
      <w:r w:rsidR="003B6301" w:rsidRPr="00483D15">
        <w:rPr>
          <w:lang w:val="en-US"/>
        </w:rPr>
        <w:fldChar w:fldCharType="separate"/>
      </w:r>
      <w:r w:rsidR="00814481" w:rsidRPr="00814481">
        <w:rPr>
          <w:rFonts w:cs="Times New Roman"/>
          <w:kern w:val="0"/>
        </w:rPr>
        <w:t>[24,69–93]</w:t>
      </w:r>
      <w:r w:rsidR="003B6301" w:rsidRPr="00483D15">
        <w:rPr>
          <w:lang w:val="en-US"/>
        </w:rPr>
        <w:fldChar w:fldCharType="end"/>
      </w:r>
      <w:r w:rsidR="00BD573F">
        <w:rPr>
          <w:lang w:val="en-US"/>
        </w:rPr>
        <w:t>.</w:t>
      </w:r>
    </w:p>
    <w:p w14:paraId="0DE663B9" w14:textId="77777777" w:rsidR="00E1058C" w:rsidRDefault="00C25112" w:rsidP="00E1058C">
      <w:pPr>
        <w:keepNext/>
      </w:pPr>
      <w:r w:rsidRPr="00483D15">
        <w:rPr>
          <w:noProof/>
          <w:lang w:val="en-US"/>
        </w:rPr>
        <w:drawing>
          <wp:inline distT="0" distB="0" distL="0" distR="0" wp14:anchorId="59ED5C72" wp14:editId="2B8279FF">
            <wp:extent cx="5400040" cy="4789170"/>
            <wp:effectExtent l="0" t="0" r="0" b="0"/>
            <wp:docPr id="1072019711" name="Picture 1" descr="A flowchart of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19711" name="Picture 1" descr="A flowchart of information&#10;&#10;AI-generated content may be incorrect."/>
                    <pic:cNvPicPr/>
                  </pic:nvPicPr>
                  <pic:blipFill>
                    <a:blip r:embed="rId27"/>
                    <a:stretch>
                      <a:fillRect/>
                    </a:stretch>
                  </pic:blipFill>
                  <pic:spPr>
                    <a:xfrm>
                      <a:off x="0" y="0"/>
                      <a:ext cx="5400040" cy="4789170"/>
                    </a:xfrm>
                    <a:prstGeom prst="rect">
                      <a:avLst/>
                    </a:prstGeom>
                  </pic:spPr>
                </pic:pic>
              </a:graphicData>
            </a:graphic>
          </wp:inline>
        </w:drawing>
      </w:r>
    </w:p>
    <w:p w14:paraId="229F9DA4" w14:textId="45A41F82" w:rsidR="00C25112" w:rsidRPr="00483D15" w:rsidRDefault="00E1058C" w:rsidP="00B2273A">
      <w:pPr>
        <w:pStyle w:val="Caption"/>
        <w:rPr>
          <w:lang w:val="en-US"/>
        </w:rPr>
      </w:pPr>
      <w:bookmarkStart w:id="67" w:name="_Ref204007231"/>
      <w:bookmarkStart w:id="68" w:name="_Toc204637070"/>
      <w:proofErr w:type="spellStart"/>
      <w:r>
        <w:t>Figure</w:t>
      </w:r>
      <w:proofErr w:type="spellEnd"/>
      <w:r>
        <w:t xml:space="preserve"> </w:t>
      </w:r>
      <w:fldSimple w:instr=" SEQ Figure \* ARABIC ">
        <w:r w:rsidR="007F7DB3">
          <w:rPr>
            <w:noProof/>
          </w:rPr>
          <w:t>17</w:t>
        </w:r>
      </w:fldSimple>
      <w:bookmarkEnd w:id="67"/>
      <w:r>
        <w:t xml:space="preserve"> - </w:t>
      </w:r>
      <w:r w:rsidRPr="003B0159">
        <w:t xml:space="preserve">PRISMA 2020 </w:t>
      </w:r>
      <w:proofErr w:type="spellStart"/>
      <w:r w:rsidRPr="003B0159">
        <w:t>Flowchart</w:t>
      </w:r>
      <w:proofErr w:type="spellEnd"/>
      <w:r w:rsidRPr="003B0159">
        <w:t xml:space="preserve">, </w:t>
      </w:r>
      <w:proofErr w:type="spellStart"/>
      <w:r w:rsidRPr="003B0159">
        <w:t>Steps</w:t>
      </w:r>
      <w:proofErr w:type="spellEnd"/>
      <w:r w:rsidRPr="003B0159">
        <w:t xml:space="preserve"> of </w:t>
      </w:r>
      <w:proofErr w:type="spellStart"/>
      <w:r w:rsidRPr="003B0159">
        <w:t>the</w:t>
      </w:r>
      <w:proofErr w:type="spellEnd"/>
      <w:r w:rsidRPr="003B0159">
        <w:t xml:space="preserve"> </w:t>
      </w:r>
      <w:proofErr w:type="spellStart"/>
      <w:r w:rsidRPr="003B0159">
        <w:t>search</w:t>
      </w:r>
      <w:proofErr w:type="spellEnd"/>
      <w:r w:rsidRPr="003B0159">
        <w:t xml:space="preserve"> and </w:t>
      </w:r>
      <w:proofErr w:type="spellStart"/>
      <w:r w:rsidRPr="003B0159">
        <w:t>selection</w:t>
      </w:r>
      <w:proofErr w:type="spellEnd"/>
      <w:r w:rsidRPr="003B0159">
        <w:t xml:space="preserve"> </w:t>
      </w:r>
      <w:proofErr w:type="spellStart"/>
      <w:r w:rsidRPr="003B0159">
        <w:t>process</w:t>
      </w:r>
      <w:proofErr w:type="spellEnd"/>
      <w:r w:rsidRPr="003B0159">
        <w:t xml:space="preserve"> of </w:t>
      </w:r>
      <w:proofErr w:type="spellStart"/>
      <w:r w:rsidRPr="003B0159">
        <w:t>the</w:t>
      </w:r>
      <w:proofErr w:type="spellEnd"/>
      <w:r w:rsidRPr="003B0159">
        <w:t xml:space="preserve"> </w:t>
      </w:r>
      <w:proofErr w:type="spellStart"/>
      <w:r w:rsidRPr="003B0159">
        <w:t>included</w:t>
      </w:r>
      <w:proofErr w:type="spellEnd"/>
      <w:r w:rsidRPr="003B0159">
        <w:t xml:space="preserve"> </w:t>
      </w:r>
      <w:proofErr w:type="spellStart"/>
      <w:r w:rsidRPr="003B0159">
        <w:t>articles</w:t>
      </w:r>
      <w:proofErr w:type="spellEnd"/>
      <w:r w:rsidRPr="003B0159">
        <w:t xml:space="preserve"> of </w:t>
      </w:r>
      <w:proofErr w:type="spellStart"/>
      <w:r w:rsidRPr="003B0159">
        <w:t>Study</w:t>
      </w:r>
      <w:proofErr w:type="spellEnd"/>
      <w:r w:rsidRPr="003B0159">
        <w:t xml:space="preserve"> II</w:t>
      </w:r>
      <w:r>
        <w:t>.</w:t>
      </w:r>
      <w:bookmarkEnd w:id="68"/>
    </w:p>
    <w:p w14:paraId="30CA2E5E" w14:textId="6219EEC8" w:rsidR="00DF4DA1" w:rsidRPr="00483D15" w:rsidRDefault="004958FF" w:rsidP="0036711F">
      <w:pPr>
        <w:pStyle w:val="Heading3"/>
        <w:rPr>
          <w:lang w:val="en-US"/>
        </w:rPr>
      </w:pPr>
      <w:bookmarkStart w:id="69" w:name="_Toc211542211"/>
      <w:r w:rsidRPr="00483D15">
        <w:rPr>
          <w:lang w:val="en-US"/>
        </w:rPr>
        <w:t xml:space="preserve">8.2.2. </w:t>
      </w:r>
      <w:r w:rsidR="00DF4DA1" w:rsidRPr="00483D15">
        <w:rPr>
          <w:lang w:val="en-US"/>
        </w:rPr>
        <w:t>Baseline characteristics</w:t>
      </w:r>
      <w:r w:rsidR="008D3BAB" w:rsidRPr="00483D15">
        <w:rPr>
          <w:lang w:val="en-US"/>
        </w:rPr>
        <w:t xml:space="preserve"> -</w:t>
      </w:r>
      <w:proofErr w:type="spellStart"/>
      <w:r w:rsidR="008D3BAB" w:rsidRPr="00483D15">
        <w:rPr>
          <w:lang w:val="en-US"/>
        </w:rPr>
        <w:t>táblázat</w:t>
      </w:r>
      <w:proofErr w:type="spellEnd"/>
      <w:r w:rsidR="008D3BAB" w:rsidRPr="00483D15">
        <w:rPr>
          <w:lang w:val="en-US"/>
        </w:rPr>
        <w:t xml:space="preserve">, </w:t>
      </w:r>
      <w:proofErr w:type="spellStart"/>
      <w:r w:rsidR="008D3BAB" w:rsidRPr="00483D15">
        <w:rPr>
          <w:lang w:val="en-US"/>
        </w:rPr>
        <w:t>hivatkozás</w:t>
      </w:r>
      <w:bookmarkEnd w:id="69"/>
      <w:proofErr w:type="spellEnd"/>
    </w:p>
    <w:p w14:paraId="6FBDF178" w14:textId="5E10A03C" w:rsidR="008D3BAB" w:rsidRPr="00483D15" w:rsidRDefault="008D3BAB" w:rsidP="0036711F">
      <w:pPr>
        <w:rPr>
          <w:lang w:val="en-US"/>
        </w:rPr>
      </w:pPr>
      <w:r w:rsidRPr="00483D15">
        <w:rPr>
          <w:lang w:val="en-US"/>
        </w:rPr>
        <w:t xml:space="preserve">The included studies primarily comprised case reports, case series, and retrospective analyses, along with two randomized controlled trials. Collectively, these studies encompassed data from 243 patients. A detailed summary of the baseline characteristics </w:t>
      </w:r>
      <w:r w:rsidRPr="00483D15">
        <w:rPr>
          <w:lang w:val="en-US"/>
        </w:rPr>
        <w:lastRenderedPageBreak/>
        <w:t>of the included studies is presented in</w:t>
      </w:r>
      <w:r w:rsidR="00B85C82">
        <w:rPr>
          <w:lang w:val="en-US"/>
        </w:rPr>
        <w:t xml:space="preserve"> </w:t>
      </w:r>
      <w:r w:rsidR="00B85C82">
        <w:rPr>
          <w:lang w:val="en-US"/>
        </w:rPr>
        <w:fldChar w:fldCharType="begin"/>
      </w:r>
      <w:r w:rsidR="00B85C82">
        <w:rPr>
          <w:lang w:val="en-US"/>
        </w:rPr>
        <w:instrText xml:space="preserve"> REF _Ref204007351 \h </w:instrText>
      </w:r>
      <w:r w:rsidR="00B85C82">
        <w:rPr>
          <w:lang w:val="en-US"/>
        </w:rPr>
      </w:r>
      <w:r w:rsidR="00B85C82">
        <w:rPr>
          <w:lang w:val="en-US"/>
        </w:rPr>
        <w:fldChar w:fldCharType="separate"/>
      </w:r>
      <w:proofErr w:type="spellStart"/>
      <w:r w:rsidR="007F7DB3">
        <w:t>Table</w:t>
      </w:r>
      <w:proofErr w:type="spellEnd"/>
      <w:r w:rsidR="007F7DB3">
        <w:t xml:space="preserve"> </w:t>
      </w:r>
      <w:r w:rsidR="007F7DB3">
        <w:rPr>
          <w:noProof/>
        </w:rPr>
        <w:t>3</w:t>
      </w:r>
      <w:r w:rsidR="007F7DB3">
        <w:t xml:space="preserve"> - </w:t>
      </w:r>
      <w:proofErr w:type="spellStart"/>
      <w:r w:rsidR="007F7DB3" w:rsidRPr="00834D6B">
        <w:t>Baseline</w:t>
      </w:r>
      <w:proofErr w:type="spellEnd"/>
      <w:r w:rsidR="007F7DB3" w:rsidRPr="00834D6B">
        <w:t xml:space="preserve"> </w:t>
      </w:r>
      <w:proofErr w:type="spellStart"/>
      <w:r w:rsidR="007F7DB3" w:rsidRPr="00834D6B">
        <w:t>characteristics</w:t>
      </w:r>
      <w:proofErr w:type="spellEnd"/>
      <w:r w:rsidR="007F7DB3" w:rsidRPr="00834D6B">
        <w:t xml:space="preserve"> of </w:t>
      </w:r>
      <w:proofErr w:type="spellStart"/>
      <w:r w:rsidR="007F7DB3" w:rsidRPr="00834D6B">
        <w:t>the</w:t>
      </w:r>
      <w:proofErr w:type="spellEnd"/>
      <w:r w:rsidR="007F7DB3" w:rsidRPr="00834D6B">
        <w:t xml:space="preserve"> </w:t>
      </w:r>
      <w:proofErr w:type="spellStart"/>
      <w:r w:rsidR="007F7DB3" w:rsidRPr="00834D6B">
        <w:t>included</w:t>
      </w:r>
      <w:proofErr w:type="spellEnd"/>
      <w:r w:rsidR="007F7DB3" w:rsidRPr="00834D6B">
        <w:t xml:space="preserve"> </w:t>
      </w:r>
      <w:proofErr w:type="spellStart"/>
      <w:r w:rsidR="007F7DB3" w:rsidRPr="00834D6B">
        <w:t>studies</w:t>
      </w:r>
      <w:proofErr w:type="spellEnd"/>
      <w:r w:rsidR="007F7DB3">
        <w:t xml:space="preserve"> in </w:t>
      </w:r>
      <w:proofErr w:type="spellStart"/>
      <w:r w:rsidR="007F7DB3">
        <w:t>Study</w:t>
      </w:r>
      <w:proofErr w:type="spellEnd"/>
      <w:r w:rsidR="007F7DB3">
        <w:t xml:space="preserve"> II.</w:t>
      </w:r>
      <w:r w:rsidR="00B85C82">
        <w:rPr>
          <w:lang w:val="en-US"/>
        </w:rPr>
        <w:fldChar w:fldCharType="end"/>
      </w:r>
    </w:p>
    <w:p w14:paraId="4B75E192" w14:textId="051D57EF" w:rsidR="00B85C82" w:rsidRDefault="00B85C82" w:rsidP="00B85C82">
      <w:pPr>
        <w:pStyle w:val="Caption"/>
        <w:keepNext/>
      </w:pPr>
      <w:bookmarkStart w:id="70" w:name="_Ref204007351"/>
      <w:proofErr w:type="spellStart"/>
      <w:r>
        <w:t>Table</w:t>
      </w:r>
      <w:proofErr w:type="spellEnd"/>
      <w:r>
        <w:t xml:space="preserve"> </w:t>
      </w:r>
      <w:fldSimple w:instr=" SEQ Table \* ARABIC ">
        <w:r w:rsidR="007F7DB3">
          <w:rPr>
            <w:noProof/>
          </w:rPr>
          <w:t>3</w:t>
        </w:r>
      </w:fldSimple>
      <w:r>
        <w:t xml:space="preserve"> - </w:t>
      </w:r>
      <w:proofErr w:type="spellStart"/>
      <w:r w:rsidRPr="00834D6B">
        <w:t>Baseline</w:t>
      </w:r>
      <w:proofErr w:type="spellEnd"/>
      <w:r w:rsidRPr="00834D6B">
        <w:t xml:space="preserve"> </w:t>
      </w:r>
      <w:proofErr w:type="spellStart"/>
      <w:r w:rsidRPr="00834D6B">
        <w:t>characteristics</w:t>
      </w:r>
      <w:proofErr w:type="spellEnd"/>
      <w:r w:rsidRPr="00834D6B">
        <w:t xml:space="preserve"> of </w:t>
      </w:r>
      <w:proofErr w:type="spellStart"/>
      <w:r w:rsidRPr="00834D6B">
        <w:t>the</w:t>
      </w:r>
      <w:proofErr w:type="spellEnd"/>
      <w:r w:rsidRPr="00834D6B">
        <w:t xml:space="preserve"> </w:t>
      </w:r>
      <w:proofErr w:type="spellStart"/>
      <w:r w:rsidRPr="00834D6B">
        <w:t>included</w:t>
      </w:r>
      <w:proofErr w:type="spellEnd"/>
      <w:r w:rsidRPr="00834D6B">
        <w:t xml:space="preserve"> </w:t>
      </w:r>
      <w:proofErr w:type="spellStart"/>
      <w:r w:rsidRPr="00834D6B">
        <w:t>studies</w:t>
      </w:r>
      <w:proofErr w:type="spellEnd"/>
      <w:r>
        <w:t xml:space="preserve"> in </w:t>
      </w:r>
      <w:proofErr w:type="spellStart"/>
      <w:r>
        <w:t>Study</w:t>
      </w:r>
      <w:proofErr w:type="spellEnd"/>
      <w:r>
        <w:t xml:space="preserve"> II.</w:t>
      </w:r>
      <w:bookmarkEnd w:id="70"/>
    </w:p>
    <w:tbl>
      <w:tblPr>
        <w:tblStyle w:val="PlainTable2"/>
        <w:tblW w:w="8517" w:type="dxa"/>
        <w:jc w:val="center"/>
        <w:tblLook w:val="04A0" w:firstRow="1" w:lastRow="0" w:firstColumn="1" w:lastColumn="0" w:noHBand="0" w:noVBand="1"/>
      </w:tblPr>
      <w:tblGrid>
        <w:gridCol w:w="1002"/>
        <w:gridCol w:w="1251"/>
        <w:gridCol w:w="656"/>
        <w:gridCol w:w="637"/>
        <w:gridCol w:w="1088"/>
        <w:gridCol w:w="823"/>
        <w:gridCol w:w="963"/>
        <w:gridCol w:w="963"/>
        <w:gridCol w:w="1134"/>
      </w:tblGrid>
      <w:tr w:rsidR="00DF2E2C" w:rsidRPr="00483D15" w14:paraId="0A379CBC" w14:textId="77777777" w:rsidTr="00B85C82">
        <w:trPr>
          <w:cnfStyle w:val="100000000000" w:firstRow="1" w:lastRow="0" w:firstColumn="0" w:lastColumn="0" w:oddVBand="0" w:evenVBand="0" w:oddHBand="0" w:evenHBand="0" w:firstRowFirstColumn="0" w:firstRowLastColumn="0" w:lastRowFirstColumn="0" w:lastRowLastColumn="0"/>
          <w:trHeight w:val="930"/>
          <w:jc w:val="center"/>
        </w:trPr>
        <w:tc>
          <w:tcPr>
            <w:cnfStyle w:val="001000000000" w:firstRow="0" w:lastRow="0" w:firstColumn="1" w:lastColumn="0" w:oddVBand="0" w:evenVBand="0" w:oddHBand="0" w:evenHBand="0" w:firstRowFirstColumn="0" w:firstRowLastColumn="0" w:lastRowFirstColumn="0" w:lastRowLastColumn="0"/>
            <w:tcW w:w="1002" w:type="dxa"/>
            <w:vAlign w:val="center"/>
            <w:hideMark/>
          </w:tcPr>
          <w:p w14:paraId="77086C8A" w14:textId="77777777" w:rsidR="00374825" w:rsidRPr="00483D15" w:rsidRDefault="00374825" w:rsidP="00483D15">
            <w:pPr>
              <w:pStyle w:val="MDPI42tablebody"/>
              <w:spacing w:line="240" w:lineRule="auto"/>
              <w:rPr>
                <w:b w:val="0"/>
                <w:snapToGrid/>
                <w:sz w:val="12"/>
                <w:szCs w:val="12"/>
              </w:rPr>
            </w:pPr>
            <w:r w:rsidRPr="00483D15">
              <w:rPr>
                <w:snapToGrid/>
                <w:sz w:val="12"/>
                <w:szCs w:val="12"/>
              </w:rPr>
              <w:t>Study, year</w:t>
            </w:r>
          </w:p>
        </w:tc>
        <w:tc>
          <w:tcPr>
            <w:tcW w:w="1251" w:type="dxa"/>
            <w:vAlign w:val="center"/>
            <w:hideMark/>
          </w:tcPr>
          <w:p w14:paraId="1938D129" w14:textId="77777777" w:rsidR="00374825" w:rsidRPr="00483D15" w:rsidRDefault="00374825" w:rsidP="00483D15">
            <w:pPr>
              <w:pStyle w:val="MDPI42tablebody"/>
              <w:spacing w:line="240" w:lineRule="auto"/>
              <w:cnfStyle w:val="100000000000" w:firstRow="1" w:lastRow="0" w:firstColumn="0" w:lastColumn="0" w:oddVBand="0" w:evenVBand="0" w:oddHBand="0" w:evenHBand="0" w:firstRowFirstColumn="0" w:firstRowLastColumn="0" w:lastRowFirstColumn="0" w:lastRowLastColumn="0"/>
              <w:rPr>
                <w:b w:val="0"/>
                <w:snapToGrid/>
                <w:sz w:val="12"/>
                <w:szCs w:val="12"/>
              </w:rPr>
            </w:pPr>
            <w:r w:rsidRPr="00483D15">
              <w:rPr>
                <w:snapToGrid/>
                <w:sz w:val="12"/>
                <w:szCs w:val="12"/>
              </w:rPr>
              <w:t>Indication</w:t>
            </w:r>
          </w:p>
        </w:tc>
        <w:tc>
          <w:tcPr>
            <w:tcW w:w="656" w:type="dxa"/>
            <w:vAlign w:val="center"/>
            <w:hideMark/>
          </w:tcPr>
          <w:p w14:paraId="33BCE272" w14:textId="1F79729B" w:rsidR="00374825" w:rsidRPr="00483D15" w:rsidRDefault="00374825" w:rsidP="00483D15">
            <w:pPr>
              <w:pStyle w:val="MDPI42tablebody"/>
              <w:spacing w:line="240" w:lineRule="auto"/>
              <w:cnfStyle w:val="100000000000" w:firstRow="1" w:lastRow="0" w:firstColumn="0" w:lastColumn="0" w:oddVBand="0" w:evenVBand="0" w:oddHBand="0" w:evenHBand="0" w:firstRowFirstColumn="0" w:firstRowLastColumn="0" w:lastRowFirstColumn="0" w:lastRowLastColumn="0"/>
              <w:rPr>
                <w:b w:val="0"/>
                <w:snapToGrid/>
                <w:sz w:val="12"/>
                <w:szCs w:val="12"/>
              </w:rPr>
            </w:pPr>
            <w:r w:rsidRPr="00483D15">
              <w:rPr>
                <w:snapToGrid/>
                <w:sz w:val="12"/>
                <w:szCs w:val="12"/>
              </w:rPr>
              <w:t>Patients on HA therapy (n)</w:t>
            </w:r>
          </w:p>
        </w:tc>
        <w:tc>
          <w:tcPr>
            <w:tcW w:w="637" w:type="dxa"/>
            <w:vAlign w:val="center"/>
            <w:hideMark/>
          </w:tcPr>
          <w:p w14:paraId="7047ED01" w14:textId="77777777" w:rsidR="00374825" w:rsidRPr="00483D15" w:rsidRDefault="00374825" w:rsidP="00483D15">
            <w:pPr>
              <w:pStyle w:val="MDPI42tablebody"/>
              <w:spacing w:line="240" w:lineRule="auto"/>
              <w:cnfStyle w:val="100000000000" w:firstRow="1" w:lastRow="0" w:firstColumn="0" w:lastColumn="0" w:oddVBand="0" w:evenVBand="0" w:oddHBand="0" w:evenHBand="0" w:firstRowFirstColumn="0" w:firstRowLastColumn="0" w:lastRowFirstColumn="0" w:lastRowLastColumn="0"/>
              <w:rPr>
                <w:b w:val="0"/>
                <w:snapToGrid/>
                <w:sz w:val="12"/>
                <w:szCs w:val="12"/>
              </w:rPr>
            </w:pPr>
            <w:r w:rsidRPr="00483D15">
              <w:rPr>
                <w:snapToGrid/>
                <w:sz w:val="12"/>
                <w:szCs w:val="12"/>
              </w:rPr>
              <w:t>Control group (n)</w:t>
            </w:r>
          </w:p>
        </w:tc>
        <w:tc>
          <w:tcPr>
            <w:tcW w:w="1088" w:type="dxa"/>
            <w:vAlign w:val="center"/>
            <w:hideMark/>
          </w:tcPr>
          <w:p w14:paraId="125C250B" w14:textId="77777777" w:rsidR="00374825" w:rsidRPr="00483D15" w:rsidRDefault="00374825" w:rsidP="00483D15">
            <w:pPr>
              <w:pStyle w:val="MDPI42tablebody"/>
              <w:spacing w:line="240" w:lineRule="auto"/>
              <w:cnfStyle w:val="100000000000" w:firstRow="1" w:lastRow="0" w:firstColumn="0" w:lastColumn="0" w:oddVBand="0" w:evenVBand="0" w:oddHBand="0" w:evenHBand="0" w:firstRowFirstColumn="0" w:firstRowLastColumn="0" w:lastRowFirstColumn="0" w:lastRowLastColumn="0"/>
              <w:rPr>
                <w:b w:val="0"/>
                <w:snapToGrid/>
                <w:sz w:val="12"/>
                <w:szCs w:val="12"/>
              </w:rPr>
            </w:pPr>
            <w:r w:rsidRPr="00483D15">
              <w:rPr>
                <w:snapToGrid/>
                <w:sz w:val="12"/>
                <w:szCs w:val="12"/>
              </w:rPr>
              <w:t>Study design</w:t>
            </w:r>
          </w:p>
        </w:tc>
        <w:tc>
          <w:tcPr>
            <w:tcW w:w="823" w:type="dxa"/>
            <w:vAlign w:val="center"/>
            <w:hideMark/>
          </w:tcPr>
          <w:p w14:paraId="7405DD33" w14:textId="77777777" w:rsidR="00374825" w:rsidRPr="00483D15" w:rsidRDefault="00374825" w:rsidP="00483D15">
            <w:pPr>
              <w:pStyle w:val="MDPI42tablebody"/>
              <w:spacing w:line="240" w:lineRule="auto"/>
              <w:cnfStyle w:val="100000000000" w:firstRow="1" w:lastRow="0" w:firstColumn="0" w:lastColumn="0" w:oddVBand="0" w:evenVBand="0" w:oddHBand="0" w:evenHBand="0" w:firstRowFirstColumn="0" w:firstRowLastColumn="0" w:lastRowFirstColumn="0" w:lastRowLastColumn="0"/>
              <w:rPr>
                <w:b w:val="0"/>
                <w:snapToGrid/>
                <w:sz w:val="12"/>
                <w:szCs w:val="12"/>
              </w:rPr>
            </w:pPr>
            <w:r w:rsidRPr="00483D15">
              <w:rPr>
                <w:snapToGrid/>
                <w:sz w:val="12"/>
                <w:szCs w:val="12"/>
              </w:rPr>
              <w:t>Cartridge</w:t>
            </w:r>
          </w:p>
        </w:tc>
        <w:tc>
          <w:tcPr>
            <w:tcW w:w="963" w:type="dxa"/>
            <w:vAlign w:val="center"/>
            <w:hideMark/>
          </w:tcPr>
          <w:p w14:paraId="2003F54D" w14:textId="77777777" w:rsidR="00374825" w:rsidRPr="00483D15" w:rsidRDefault="00374825" w:rsidP="00483D15">
            <w:pPr>
              <w:pStyle w:val="MDPI42tablebody"/>
              <w:spacing w:line="240" w:lineRule="auto"/>
              <w:cnfStyle w:val="100000000000" w:firstRow="1" w:lastRow="0" w:firstColumn="0" w:lastColumn="0" w:oddVBand="0" w:evenVBand="0" w:oddHBand="0" w:evenHBand="0" w:firstRowFirstColumn="0" w:firstRowLastColumn="0" w:lastRowFirstColumn="0" w:lastRowLastColumn="0"/>
              <w:rPr>
                <w:b w:val="0"/>
                <w:snapToGrid/>
                <w:sz w:val="12"/>
                <w:szCs w:val="12"/>
              </w:rPr>
            </w:pPr>
            <w:r w:rsidRPr="00483D15">
              <w:rPr>
                <w:snapToGrid/>
                <w:sz w:val="12"/>
                <w:szCs w:val="12"/>
              </w:rPr>
              <w:t>Average No. of adsorbents</w:t>
            </w:r>
          </w:p>
        </w:tc>
        <w:tc>
          <w:tcPr>
            <w:tcW w:w="963" w:type="dxa"/>
            <w:vAlign w:val="center"/>
            <w:hideMark/>
          </w:tcPr>
          <w:p w14:paraId="52E6438B" w14:textId="77777777" w:rsidR="00374825" w:rsidRPr="00483D15" w:rsidRDefault="00374825" w:rsidP="00483D15">
            <w:pPr>
              <w:pStyle w:val="MDPI42tablebody"/>
              <w:spacing w:line="240" w:lineRule="auto"/>
              <w:cnfStyle w:val="100000000000" w:firstRow="1" w:lastRow="0" w:firstColumn="0" w:lastColumn="0" w:oddVBand="0" w:evenVBand="0" w:oddHBand="0" w:evenHBand="0" w:firstRowFirstColumn="0" w:firstRowLastColumn="0" w:lastRowFirstColumn="0" w:lastRowLastColumn="0"/>
              <w:rPr>
                <w:b w:val="0"/>
                <w:snapToGrid/>
                <w:sz w:val="12"/>
                <w:szCs w:val="12"/>
              </w:rPr>
            </w:pPr>
            <w:r w:rsidRPr="00483D15">
              <w:rPr>
                <w:snapToGrid/>
                <w:sz w:val="12"/>
                <w:szCs w:val="12"/>
              </w:rPr>
              <w:t>Timeframe for use</w:t>
            </w:r>
          </w:p>
        </w:tc>
        <w:tc>
          <w:tcPr>
            <w:tcW w:w="1134" w:type="dxa"/>
            <w:vAlign w:val="center"/>
            <w:hideMark/>
          </w:tcPr>
          <w:p w14:paraId="66BA0AA7" w14:textId="77777777" w:rsidR="00374825" w:rsidRPr="00483D15" w:rsidRDefault="00374825" w:rsidP="00483D15">
            <w:pPr>
              <w:pStyle w:val="MDPI42tablebody"/>
              <w:spacing w:line="240" w:lineRule="auto"/>
              <w:cnfStyle w:val="100000000000" w:firstRow="1" w:lastRow="0" w:firstColumn="0" w:lastColumn="0" w:oddVBand="0" w:evenVBand="0" w:oddHBand="0" w:evenHBand="0" w:firstRowFirstColumn="0" w:firstRowLastColumn="0" w:lastRowFirstColumn="0" w:lastRowLastColumn="0"/>
              <w:rPr>
                <w:b w:val="0"/>
                <w:snapToGrid/>
                <w:sz w:val="12"/>
                <w:szCs w:val="12"/>
              </w:rPr>
            </w:pPr>
            <w:r w:rsidRPr="00483D15">
              <w:rPr>
                <w:snapToGrid/>
                <w:sz w:val="12"/>
                <w:szCs w:val="12"/>
              </w:rPr>
              <w:t>Results</w:t>
            </w:r>
          </w:p>
        </w:tc>
      </w:tr>
      <w:tr w:rsidR="00DF2E2C" w:rsidRPr="00483D15" w14:paraId="1E39BC17" w14:textId="77777777" w:rsidTr="00B85C82">
        <w:trPr>
          <w:cnfStyle w:val="000000100000" w:firstRow="0" w:lastRow="0" w:firstColumn="0" w:lastColumn="0" w:oddVBand="0" w:evenVBand="0" w:oddHBand="1" w:evenHBand="0" w:firstRowFirstColumn="0" w:firstRowLastColumn="0" w:lastRowFirstColumn="0" w:lastRowLastColumn="0"/>
          <w:trHeight w:val="876"/>
          <w:jc w:val="center"/>
        </w:trPr>
        <w:tc>
          <w:tcPr>
            <w:cnfStyle w:val="001000000000" w:firstRow="0" w:lastRow="0" w:firstColumn="1" w:lastColumn="0" w:oddVBand="0" w:evenVBand="0" w:oddHBand="0" w:evenHBand="0" w:firstRowFirstColumn="0" w:firstRowLastColumn="0" w:lastRowFirstColumn="0" w:lastRowLastColumn="0"/>
            <w:tcW w:w="1002" w:type="dxa"/>
            <w:vAlign w:val="center"/>
            <w:hideMark/>
          </w:tcPr>
          <w:p w14:paraId="128499A3" w14:textId="547B3E37" w:rsidR="00374825" w:rsidRPr="00483D15" w:rsidRDefault="00374825" w:rsidP="00483D15">
            <w:pPr>
              <w:pStyle w:val="MDPI42tablebody"/>
              <w:spacing w:line="240" w:lineRule="auto"/>
              <w:rPr>
                <w:b w:val="0"/>
                <w:snapToGrid/>
                <w:sz w:val="14"/>
                <w:szCs w:val="14"/>
              </w:rPr>
            </w:pPr>
            <w:r w:rsidRPr="00483D15">
              <w:rPr>
                <w:b w:val="0"/>
                <w:snapToGrid/>
                <w:sz w:val="14"/>
                <w:szCs w:val="14"/>
              </w:rPr>
              <w:t>Acevedo et al., 2021</w:t>
            </w:r>
            <w:r w:rsidR="00DF2E2C" w:rsidRPr="00483D15">
              <w:rPr>
                <w:snapToGrid/>
                <w:sz w:val="14"/>
                <w:szCs w:val="14"/>
              </w:rPr>
              <w:fldChar w:fldCharType="begin"/>
            </w:r>
            <w:r w:rsidR="00647F4D">
              <w:rPr>
                <w:b w:val="0"/>
                <w:snapToGrid/>
                <w:sz w:val="14"/>
                <w:szCs w:val="14"/>
              </w:rPr>
              <w:instrText xml:space="preserve"> ADDIN ZOTERO_ITEM CSL_CITATION {"citationID":"T9OfNGdd","properties":{"formattedCitation":"[69]","plainCitation":"[69]","noteIndex":0},"citationItems":[{"id":139,"uris":["http://zotero.org/users/local/L5HAWlIW/items/DEUWL29H"],"itemData":{"id":139,"type":"article-journal","abstract":"Accumulating evidence suggests that a patient subgroup with severe COVID-19 develops a cytokine release syndrome leading to capillary leakage and organ injury. Recent publications addressing therapy of cytokine storms recommended new extracorporeal therapies such as hemoadsorption. This case report describes a 59-year-old SARS-CoV-2-positive patient with severe ARDS. Due to severe hyperinflammation with concomitant hemodynamic instability and progressive renal failure, combination of continuous renal replacement and CytoSorb® hemoadsorption therapy was initiated. Treatment resulted immediately in a control of the hyperinflammatory response. Simultaneously, lung function continued to improve accompanied by profound hemodynamic stabilization. We report the successful utilization of CytoSorb® hemoadsorption in the treatment of a patient with SARS-CoV-2-induced cytokine storm syndrome.","container-title":"Case reports in critical care","DOI":"10.1155/2021/9937499","issue":"NA","note":"publisher: Hindawi Limited","page":"9937499-5","title":"CytoSorb® Hemoadsorption as a Promising Tool to Handle COVID-19-Induced Cytokine Storm.","volume":"2021","author":[{"family":"Acevedo","given":"Alice-Christin; Zoller","suffix":"Michael; Scharf, Christina; Liebchen, Uwe; Irlbeck, Michael; Schroeder, Ines"}],"issued":{"date-parts":[["2021"]]}}}],"schema":"https://github.com/citation-style-language/schema/raw/master/csl-citation.json"} </w:instrText>
            </w:r>
            <w:r w:rsidR="00DF2E2C" w:rsidRPr="00483D15">
              <w:rPr>
                <w:snapToGrid/>
                <w:sz w:val="14"/>
                <w:szCs w:val="14"/>
              </w:rPr>
              <w:fldChar w:fldCharType="separate"/>
            </w:r>
            <w:r w:rsidR="00647F4D" w:rsidRPr="00647F4D">
              <w:rPr>
                <w:sz w:val="14"/>
              </w:rPr>
              <w:t>[69]</w:t>
            </w:r>
            <w:r w:rsidR="00DF2E2C" w:rsidRPr="00483D15">
              <w:rPr>
                <w:snapToGrid/>
                <w:sz w:val="14"/>
                <w:szCs w:val="14"/>
              </w:rPr>
              <w:fldChar w:fldCharType="end"/>
            </w:r>
          </w:p>
        </w:tc>
        <w:tc>
          <w:tcPr>
            <w:tcW w:w="1251" w:type="dxa"/>
            <w:vAlign w:val="center"/>
            <w:hideMark/>
          </w:tcPr>
          <w:p w14:paraId="0406C4AE"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ARDS, COVID-19</w:t>
            </w:r>
          </w:p>
        </w:tc>
        <w:tc>
          <w:tcPr>
            <w:tcW w:w="656" w:type="dxa"/>
            <w:vAlign w:val="center"/>
            <w:hideMark/>
          </w:tcPr>
          <w:p w14:paraId="12B3FF1C"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1</w:t>
            </w:r>
          </w:p>
        </w:tc>
        <w:tc>
          <w:tcPr>
            <w:tcW w:w="637" w:type="dxa"/>
            <w:vAlign w:val="center"/>
            <w:hideMark/>
          </w:tcPr>
          <w:p w14:paraId="1E4E9BFB"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w:t>
            </w:r>
          </w:p>
        </w:tc>
        <w:tc>
          <w:tcPr>
            <w:tcW w:w="1088" w:type="dxa"/>
            <w:vAlign w:val="center"/>
            <w:hideMark/>
          </w:tcPr>
          <w:p w14:paraId="48C2B89C"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case report</w:t>
            </w:r>
          </w:p>
        </w:tc>
        <w:tc>
          <w:tcPr>
            <w:tcW w:w="823" w:type="dxa"/>
            <w:vAlign w:val="center"/>
            <w:hideMark/>
          </w:tcPr>
          <w:p w14:paraId="71311D00"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proofErr w:type="spellStart"/>
            <w:r w:rsidRPr="00483D15">
              <w:rPr>
                <w:b/>
                <w:snapToGrid/>
                <w:sz w:val="14"/>
                <w:szCs w:val="14"/>
              </w:rPr>
              <w:t>CytoSorb</w:t>
            </w:r>
            <w:proofErr w:type="spellEnd"/>
          </w:p>
        </w:tc>
        <w:tc>
          <w:tcPr>
            <w:tcW w:w="963" w:type="dxa"/>
            <w:vAlign w:val="center"/>
            <w:hideMark/>
          </w:tcPr>
          <w:p w14:paraId="04326B29"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1</w:t>
            </w:r>
          </w:p>
        </w:tc>
        <w:tc>
          <w:tcPr>
            <w:tcW w:w="963" w:type="dxa"/>
            <w:vAlign w:val="center"/>
            <w:hideMark/>
          </w:tcPr>
          <w:p w14:paraId="1D45B593"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9,2 h</w:t>
            </w:r>
          </w:p>
        </w:tc>
        <w:tc>
          <w:tcPr>
            <w:tcW w:w="1134" w:type="dxa"/>
            <w:vAlign w:val="center"/>
            <w:hideMark/>
          </w:tcPr>
          <w:p w14:paraId="16538C4A" w14:textId="0BA04B6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improved P/F ratio, reduction of NA need</w:t>
            </w:r>
          </w:p>
        </w:tc>
      </w:tr>
      <w:tr w:rsidR="00DF2E2C" w:rsidRPr="00483D15" w14:paraId="64262EA9" w14:textId="77777777" w:rsidTr="00B85C82">
        <w:trPr>
          <w:trHeight w:val="1069"/>
          <w:jc w:val="center"/>
        </w:trPr>
        <w:tc>
          <w:tcPr>
            <w:cnfStyle w:val="001000000000" w:firstRow="0" w:lastRow="0" w:firstColumn="1" w:lastColumn="0" w:oddVBand="0" w:evenVBand="0" w:oddHBand="0" w:evenHBand="0" w:firstRowFirstColumn="0" w:firstRowLastColumn="0" w:lastRowFirstColumn="0" w:lastRowLastColumn="0"/>
            <w:tcW w:w="1002" w:type="dxa"/>
            <w:vAlign w:val="center"/>
            <w:hideMark/>
          </w:tcPr>
          <w:p w14:paraId="27F18397" w14:textId="6F7D2FA9" w:rsidR="00374825" w:rsidRPr="00483D15" w:rsidRDefault="00374825" w:rsidP="00483D15">
            <w:pPr>
              <w:pStyle w:val="MDPI42tablebody"/>
              <w:spacing w:line="240" w:lineRule="auto"/>
              <w:rPr>
                <w:b w:val="0"/>
                <w:snapToGrid/>
                <w:sz w:val="14"/>
                <w:szCs w:val="14"/>
              </w:rPr>
            </w:pPr>
            <w:r w:rsidRPr="00483D15">
              <w:rPr>
                <w:b w:val="0"/>
                <w:snapToGrid/>
                <w:sz w:val="14"/>
                <w:szCs w:val="14"/>
              </w:rPr>
              <w:t>Akil et al., 2020</w:t>
            </w:r>
            <w:r w:rsidR="00DF2E2C" w:rsidRPr="00483D15">
              <w:rPr>
                <w:snapToGrid/>
                <w:sz w:val="14"/>
                <w:szCs w:val="14"/>
              </w:rPr>
              <w:fldChar w:fldCharType="begin"/>
            </w:r>
            <w:r w:rsidR="007401A0">
              <w:rPr>
                <w:b w:val="0"/>
                <w:snapToGrid/>
                <w:sz w:val="14"/>
                <w:szCs w:val="14"/>
              </w:rPr>
              <w:instrText xml:space="preserve"> ADDIN ZOTERO_ITEM CSL_CITATION {"citationID":"soBSJWrW","properties":{"formattedCitation":"[70]","plainCitation":"[70]","noteIndex":0},"citationItems":[{"id":162,"uris":["http://zotero.org/users/local/L5HAWlIW/items/ZEUANS5S"],"itemData":{"id":162,"type":"article-journal","abstract":"Background High morbidity and mortality are frequently reported in intensive care patients suffering from severe sepsis with systemic inflammation. With the development of severe respiratory failure, extracorporeal membrane oxygenation (ECMO) is often required. In this study, cytokine adsorption therapy in combination with ECMO is applied in patients with acute respiratory distress syndrome (ARDS) due to severe pneumogenic sepsis. The efficacy of this therapy is evaluated compared with a historical cohort without hemoadsorption therapy. Methods Between January and May 2018, combined high-flow venovenous ECMO and CytoSorb therapy (CytoSorb filter connected to ECMO circuit) was applied in patients (n = 13) with pneumogenic sepsis and ARDS. These patients were prospectively included (CytoSorb group). Data from patients (n = 7) with pneumogenic sepsis and ECMO therapy were retrospectively analyzed (control group). Results All patients survived in the CytoSorb group, where the 30-day mortality rate reached 57% in the control group. After CytoSorb therapy, we instantly observed a significant reduction in procalcitonin (PCT) and C-reactive protein (CRP) levels compared with the control group. Within 48 hours, the initial high doses of catecholamine could be weaned off only in the CytoSorb group. Conclusions Our results indicate that CytoSorb in combination with ECMO is an effective therapy to prevent escalation of sepsis with rapid weaning off high-dose catecholamine infusions and quick reduction in PCT and CRP levels. Optimal timing of immunomodulatory therapy and impact on ECMO-related inflammation still need to be furtherly investigated.","container-title":"The Thoracic and cardiovascular surgeon","DOI":"10.1055/s-0040-1708479","issue":"03","note":"publisher: Georg Thieme Verlag","page":"246-251","title":"Combined Use of CytoSorb and ECMO in Patients with Severe Pneumogenic Sepsis","volume":"69","author":[{"family":"Akil","given":"A; Ziegeler","suffix":"S; Reichelt, J; Rehers, Stephanie; Abdalla, Omer; Semik, Michael; Fischer, Stefan"}],"issued":{"date-parts":[["2020"]]}}}],"schema":"https://github.com/citation-style-language/schema/raw/master/csl-citation.json"} </w:instrText>
            </w:r>
            <w:r w:rsidR="00DF2E2C" w:rsidRPr="00483D15">
              <w:rPr>
                <w:snapToGrid/>
                <w:sz w:val="14"/>
                <w:szCs w:val="14"/>
              </w:rPr>
              <w:fldChar w:fldCharType="separate"/>
            </w:r>
            <w:r w:rsidR="007401A0" w:rsidRPr="007401A0">
              <w:rPr>
                <w:sz w:val="14"/>
              </w:rPr>
              <w:t>[70]</w:t>
            </w:r>
            <w:r w:rsidR="00DF2E2C" w:rsidRPr="00483D15">
              <w:rPr>
                <w:snapToGrid/>
                <w:sz w:val="14"/>
                <w:szCs w:val="14"/>
              </w:rPr>
              <w:fldChar w:fldCharType="end"/>
            </w:r>
          </w:p>
        </w:tc>
        <w:tc>
          <w:tcPr>
            <w:tcW w:w="1251" w:type="dxa"/>
            <w:vAlign w:val="center"/>
            <w:hideMark/>
          </w:tcPr>
          <w:p w14:paraId="77520B66"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 xml:space="preserve">ARDS, </w:t>
            </w:r>
            <w:proofErr w:type="spellStart"/>
            <w:r w:rsidRPr="00483D15">
              <w:rPr>
                <w:b/>
                <w:snapToGrid/>
                <w:sz w:val="14"/>
                <w:szCs w:val="14"/>
              </w:rPr>
              <w:t>pneumogenic</w:t>
            </w:r>
            <w:proofErr w:type="spellEnd"/>
            <w:r w:rsidRPr="00483D15">
              <w:rPr>
                <w:b/>
                <w:snapToGrid/>
                <w:sz w:val="14"/>
                <w:szCs w:val="14"/>
              </w:rPr>
              <w:t xml:space="preserve"> septic shock</w:t>
            </w:r>
          </w:p>
        </w:tc>
        <w:tc>
          <w:tcPr>
            <w:tcW w:w="656" w:type="dxa"/>
            <w:vAlign w:val="center"/>
            <w:hideMark/>
          </w:tcPr>
          <w:p w14:paraId="218C3634"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13</w:t>
            </w:r>
          </w:p>
        </w:tc>
        <w:tc>
          <w:tcPr>
            <w:tcW w:w="637" w:type="dxa"/>
            <w:vAlign w:val="center"/>
            <w:hideMark/>
          </w:tcPr>
          <w:p w14:paraId="1B081CF8"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7</w:t>
            </w:r>
          </w:p>
        </w:tc>
        <w:tc>
          <w:tcPr>
            <w:tcW w:w="1088" w:type="dxa"/>
            <w:vAlign w:val="center"/>
            <w:hideMark/>
          </w:tcPr>
          <w:p w14:paraId="214C12CA"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prospective obs., + post hoc comparison to retrospective historical controls.</w:t>
            </w:r>
          </w:p>
        </w:tc>
        <w:tc>
          <w:tcPr>
            <w:tcW w:w="823" w:type="dxa"/>
            <w:vAlign w:val="center"/>
            <w:hideMark/>
          </w:tcPr>
          <w:p w14:paraId="7E7987CD"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proofErr w:type="spellStart"/>
            <w:r w:rsidRPr="00483D15">
              <w:rPr>
                <w:b/>
                <w:snapToGrid/>
                <w:sz w:val="14"/>
                <w:szCs w:val="14"/>
              </w:rPr>
              <w:t>CytoSorb</w:t>
            </w:r>
            <w:proofErr w:type="spellEnd"/>
          </w:p>
        </w:tc>
        <w:tc>
          <w:tcPr>
            <w:tcW w:w="963" w:type="dxa"/>
            <w:vAlign w:val="center"/>
            <w:hideMark/>
          </w:tcPr>
          <w:p w14:paraId="175BBB10"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min. of 2</w:t>
            </w:r>
          </w:p>
        </w:tc>
        <w:tc>
          <w:tcPr>
            <w:tcW w:w="963" w:type="dxa"/>
            <w:vAlign w:val="center"/>
            <w:hideMark/>
          </w:tcPr>
          <w:p w14:paraId="35240465"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each for 24h</w:t>
            </w:r>
          </w:p>
        </w:tc>
        <w:tc>
          <w:tcPr>
            <w:tcW w:w="1134" w:type="dxa"/>
            <w:vAlign w:val="center"/>
            <w:hideMark/>
          </w:tcPr>
          <w:p w14:paraId="41C95748"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mortality 0% SG vs 57% CG, sign. reduction of NA requirement and serum Lactate in SG</w:t>
            </w:r>
          </w:p>
        </w:tc>
      </w:tr>
      <w:tr w:rsidR="00DF2E2C" w:rsidRPr="00483D15" w14:paraId="0CCD6317" w14:textId="77777777" w:rsidTr="00B85C82">
        <w:trPr>
          <w:cnfStyle w:val="000000100000" w:firstRow="0" w:lastRow="0" w:firstColumn="0" w:lastColumn="0" w:oddVBand="0" w:evenVBand="0" w:oddHBand="1" w:evenHBand="0" w:firstRowFirstColumn="0" w:firstRowLastColumn="0" w:lastRowFirstColumn="0" w:lastRowLastColumn="0"/>
          <w:trHeight w:val="1168"/>
          <w:jc w:val="center"/>
        </w:trPr>
        <w:tc>
          <w:tcPr>
            <w:cnfStyle w:val="001000000000" w:firstRow="0" w:lastRow="0" w:firstColumn="1" w:lastColumn="0" w:oddVBand="0" w:evenVBand="0" w:oddHBand="0" w:evenHBand="0" w:firstRowFirstColumn="0" w:firstRowLastColumn="0" w:lastRowFirstColumn="0" w:lastRowLastColumn="0"/>
            <w:tcW w:w="1002" w:type="dxa"/>
            <w:vAlign w:val="center"/>
            <w:hideMark/>
          </w:tcPr>
          <w:p w14:paraId="27D8EA81" w14:textId="0D9D444D" w:rsidR="00374825" w:rsidRPr="00483D15" w:rsidRDefault="00374825" w:rsidP="00483D15">
            <w:pPr>
              <w:pStyle w:val="MDPI42tablebody"/>
              <w:spacing w:line="240" w:lineRule="auto"/>
              <w:rPr>
                <w:b w:val="0"/>
                <w:snapToGrid/>
                <w:sz w:val="14"/>
                <w:szCs w:val="14"/>
              </w:rPr>
            </w:pPr>
            <w:r w:rsidRPr="00483D15">
              <w:rPr>
                <w:b w:val="0"/>
                <w:snapToGrid/>
                <w:sz w:val="14"/>
                <w:szCs w:val="14"/>
              </w:rPr>
              <w:t>Akil et al., 2022</w:t>
            </w:r>
            <w:r w:rsidR="00DF2E2C" w:rsidRPr="00483D15">
              <w:rPr>
                <w:snapToGrid/>
                <w:sz w:val="14"/>
                <w:szCs w:val="14"/>
              </w:rPr>
              <w:fldChar w:fldCharType="begin"/>
            </w:r>
            <w:r w:rsidR="00CF0BC9">
              <w:rPr>
                <w:b w:val="0"/>
                <w:snapToGrid/>
                <w:sz w:val="14"/>
                <w:szCs w:val="14"/>
              </w:rPr>
              <w:instrText xml:space="preserve"> ADDIN ZOTERO_ITEM CSL_CITATION {"citationID":"XPSKZfHy","properties":{"formattedCitation":"[71]","plainCitation":"[71]","noteIndex":0},"citationItems":[{"id":327,"uris":["http://zotero.org/users/local/L5HAWlIW/items/F8WHZXRB"],"itemData":{"id":327,"type":"article-journal","abstract":"&lt;AbstractText Label=\"OBJECTIVE\" NlmCategory=\"UNASSIGNED\"&gt;Patients with severe manifestations of COVID-19 might exhibit characteristics of a sepsis-like syndrome that can progress to multiple organ failure and ultimately death. Underlying mechanism have been explored and suggest a profound dysregulation of the immune system associated with hyperinflammation, hemodynamic instability and respiratory failure. Besides standard intensive care treatment, approaches modulating the dysregulated immune response, such as CytoSorb hemoadsorption, have been used. However, data of ECMO-dependent patients in comparison to a control cohort remain scarce.&lt;/AbstractText&gt; &lt;AbstractText Label=\"METHODS\" NlmCategory=\"UNASSIGNED\"&gt;Included were 26 critically ill COVID-19 patients requiring high-flow veno-venous extracorporeal membrane oxygenation (high-flow VV ECMO) therapy due to severe acute respiratory distress syndrome (ARDS), of whom 16 were additionally treated with an extracorporeal hemoadsorption device, and compared to a control group of 10 patients. Assessed were levels of inflammatory markers, vasopressor requirements, oxygenation parameters, as well as clinically relevant outcome variables. Data were prospectively recorded and retrospectively analyzed.&lt;/AbstractText&gt; &lt;AbstractText Label=\"RESULTS\" NlmCategory=\"UNASSIGNED\"&gt;Treatment with the applied multimodal therapy approach resulted in a stabilization in hemodynamics, a control of the hyperinflammatory response as evidenced by a significant reduction in inflammatory mediators, as well as a marked improvement in lung function. No device related adverse events were observed while treatment appeared safe and feasible.&lt;/AbstractText&gt; &lt;AbstractText Label=\"CONCLUSION\" NlmCategory=\"UNASSIGNED\"&gt;Treatment of a critically ill COVID-19 ARDS patients with combined VV ECMO support and hemoadsorption therapy led to a rapid and sustained hemodynamic stabilization, a control of the uncontrolled inflammatory response and an improvement in oxygenation. Given these signals pointing toward a patient-oriented benefit of extracorporeal hemoadsorption therapy in those patients, future controlled, randomized studies should focus on the investigation of the appropriate timing and dosing of this promising treatment modality.&lt;/AbstractText&gt;","container-title":"The International journal of artificial organs","DOI":"10.1177/03913988221103287","issue":"7","page":"615-622","title":"Blood purification therapy in patients with severe COVID-19 requiring veno-venous ECMO therapy: A retrospective study.","volume":"45","author":[{"family":"Akil","given":"Ali; Ziegeler","suffix":"Stephan; Rehers, Stephanie; Ernst, Erik Christian; Fischer, Stefan"}],"issued":{"date-parts":[["2022"]]}}}],"schema":"https://github.com/citation-style-language/schema/raw/master/csl-citation.json"} </w:instrText>
            </w:r>
            <w:r w:rsidR="00DF2E2C" w:rsidRPr="00483D15">
              <w:rPr>
                <w:snapToGrid/>
                <w:sz w:val="14"/>
                <w:szCs w:val="14"/>
              </w:rPr>
              <w:fldChar w:fldCharType="separate"/>
            </w:r>
            <w:r w:rsidR="00CF0BC9" w:rsidRPr="00CF0BC9">
              <w:rPr>
                <w:sz w:val="14"/>
              </w:rPr>
              <w:t>[71]</w:t>
            </w:r>
            <w:r w:rsidR="00DF2E2C" w:rsidRPr="00483D15">
              <w:rPr>
                <w:snapToGrid/>
                <w:sz w:val="14"/>
                <w:szCs w:val="14"/>
              </w:rPr>
              <w:fldChar w:fldCharType="end"/>
            </w:r>
          </w:p>
        </w:tc>
        <w:tc>
          <w:tcPr>
            <w:tcW w:w="1251" w:type="dxa"/>
            <w:vAlign w:val="center"/>
            <w:hideMark/>
          </w:tcPr>
          <w:p w14:paraId="47A919ED"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COVID-19</w:t>
            </w:r>
          </w:p>
        </w:tc>
        <w:tc>
          <w:tcPr>
            <w:tcW w:w="656" w:type="dxa"/>
            <w:vAlign w:val="center"/>
            <w:hideMark/>
          </w:tcPr>
          <w:p w14:paraId="3D546261"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16</w:t>
            </w:r>
          </w:p>
        </w:tc>
        <w:tc>
          <w:tcPr>
            <w:tcW w:w="637" w:type="dxa"/>
            <w:vAlign w:val="center"/>
            <w:hideMark/>
          </w:tcPr>
          <w:p w14:paraId="694EEF70"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10</w:t>
            </w:r>
          </w:p>
        </w:tc>
        <w:tc>
          <w:tcPr>
            <w:tcW w:w="1088" w:type="dxa"/>
            <w:vAlign w:val="center"/>
            <w:hideMark/>
          </w:tcPr>
          <w:p w14:paraId="1444917A"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retrospective observational</w:t>
            </w:r>
          </w:p>
        </w:tc>
        <w:tc>
          <w:tcPr>
            <w:tcW w:w="823" w:type="dxa"/>
            <w:vAlign w:val="center"/>
            <w:hideMark/>
          </w:tcPr>
          <w:p w14:paraId="258DBD7A"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proofErr w:type="spellStart"/>
            <w:r w:rsidRPr="00483D15">
              <w:rPr>
                <w:b/>
                <w:snapToGrid/>
                <w:sz w:val="14"/>
                <w:szCs w:val="14"/>
              </w:rPr>
              <w:t>CytoSorb</w:t>
            </w:r>
            <w:proofErr w:type="spellEnd"/>
          </w:p>
        </w:tc>
        <w:tc>
          <w:tcPr>
            <w:tcW w:w="963" w:type="dxa"/>
            <w:vAlign w:val="center"/>
            <w:hideMark/>
          </w:tcPr>
          <w:p w14:paraId="49AAC816"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proofErr w:type="gramStart"/>
            <w:r w:rsidRPr="00483D15">
              <w:rPr>
                <w:b/>
                <w:snapToGrid/>
                <w:sz w:val="14"/>
                <w:szCs w:val="14"/>
              </w:rPr>
              <w:t>mean</w:t>
            </w:r>
            <w:proofErr w:type="gramEnd"/>
            <w:r w:rsidRPr="00483D15">
              <w:rPr>
                <w:b/>
                <w:snapToGrid/>
                <w:sz w:val="14"/>
                <w:szCs w:val="14"/>
              </w:rPr>
              <w:t xml:space="preserve"> of 6 treatments (range 2-21)</w:t>
            </w:r>
          </w:p>
        </w:tc>
        <w:tc>
          <w:tcPr>
            <w:tcW w:w="963" w:type="dxa"/>
            <w:vAlign w:val="center"/>
            <w:hideMark/>
          </w:tcPr>
          <w:p w14:paraId="37CADADF"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24 h each</w:t>
            </w:r>
          </w:p>
        </w:tc>
        <w:tc>
          <w:tcPr>
            <w:tcW w:w="1134" w:type="dxa"/>
            <w:vAlign w:val="center"/>
            <w:hideMark/>
          </w:tcPr>
          <w:p w14:paraId="7C3B5F8B"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HA therapy led to hemodynamic stabilization, reduction of inflammation</w:t>
            </w:r>
          </w:p>
        </w:tc>
      </w:tr>
      <w:tr w:rsidR="00DF2E2C" w:rsidRPr="00483D15" w14:paraId="78BBD1A9" w14:textId="77777777" w:rsidTr="00B85C82">
        <w:trPr>
          <w:trHeight w:val="828"/>
          <w:jc w:val="center"/>
        </w:trPr>
        <w:tc>
          <w:tcPr>
            <w:cnfStyle w:val="001000000000" w:firstRow="0" w:lastRow="0" w:firstColumn="1" w:lastColumn="0" w:oddVBand="0" w:evenVBand="0" w:oddHBand="0" w:evenHBand="0" w:firstRowFirstColumn="0" w:firstRowLastColumn="0" w:lastRowFirstColumn="0" w:lastRowLastColumn="0"/>
            <w:tcW w:w="1002" w:type="dxa"/>
            <w:vAlign w:val="center"/>
            <w:hideMark/>
          </w:tcPr>
          <w:p w14:paraId="3E5F2C1E" w14:textId="1208E169" w:rsidR="00374825" w:rsidRPr="00483D15" w:rsidRDefault="00374825" w:rsidP="00483D15">
            <w:pPr>
              <w:pStyle w:val="MDPI42tablebody"/>
              <w:spacing w:line="240" w:lineRule="auto"/>
              <w:rPr>
                <w:b w:val="0"/>
                <w:snapToGrid/>
                <w:sz w:val="14"/>
                <w:szCs w:val="14"/>
              </w:rPr>
            </w:pPr>
            <w:proofErr w:type="spellStart"/>
            <w:r w:rsidRPr="00483D15">
              <w:rPr>
                <w:b w:val="0"/>
                <w:snapToGrid/>
                <w:sz w:val="14"/>
                <w:szCs w:val="14"/>
              </w:rPr>
              <w:t>Alharthy</w:t>
            </w:r>
            <w:proofErr w:type="spellEnd"/>
            <w:r w:rsidRPr="00483D15">
              <w:rPr>
                <w:b w:val="0"/>
                <w:snapToGrid/>
                <w:sz w:val="14"/>
                <w:szCs w:val="14"/>
              </w:rPr>
              <w:t xml:space="preserve"> et al., 2020</w:t>
            </w:r>
            <w:r w:rsidR="00DF2E2C" w:rsidRPr="00483D15">
              <w:rPr>
                <w:snapToGrid/>
                <w:sz w:val="14"/>
                <w:szCs w:val="14"/>
              </w:rPr>
              <w:fldChar w:fldCharType="begin"/>
            </w:r>
            <w:r w:rsidR="00CE32B4">
              <w:rPr>
                <w:b w:val="0"/>
                <w:snapToGrid/>
                <w:sz w:val="14"/>
                <w:szCs w:val="14"/>
              </w:rPr>
              <w:instrText xml:space="preserve"> ADDIN ZOTERO_ITEM CSL_CITATION {"citationID":"MM8MkwMk","properties":{"formattedCitation":"[72]","plainCitation":"[72]","noteIndex":0},"citationItems":[{"id":127,"uris":["http://zotero.org/users/local/L5HAWlIW/items/E7E286NV"],"itemData":{"id":127,"type":"article-journal","abstract":"AIM: To investigate continuous renal replacement therapy (CRRT) with CytoSorb® cartridge for patients with life-threatening COVID-19 plus acute kidney injury (AKI), sepsis, acute respiratory distress syndrome (ARDS), and cytokine release syndrome (CRS). PATIENTS AND METHODS: Of 492 COVID-19 patients admitted to our intensive care unit (ICU), 50 had AKI necessitating CRRT (10.16%) and were enrolled in the study. Upon ICU admission, all had AKI, ARDS, septic shock, and CRS. In addition to CRRT with CytoSorb® , all received ARDS-net ventilation, prone positioning, plus empiric ribavirin, interferon beta-1b, antibiotics, hydrocortisone, and prophylactic anticoagulation. We retrospectively analyzed inflammatory biomarkers, oxygenation, organ function, duration of mechanical ventilation, ICU length-of-stay, and mortality on day-28 post-ICU admission. RESULTS: Patients were 49.64 ±8.90 years old (78% male) with body mass index of 26.70±2.76 kg/m2 . On ICU admission, mean Acute Physiology and Chronic Health Evaluation II, was 22.52±1.1. Sequential Organ Function Assessment (SOFA) score was 9.36±2.068 and the ratio of partial arterial pressure of oxygen to fractional inspired concentration of oxygen (PaO2 /FiO2 ) was 117.46±36.92. Duration of mechanical ventilation was 17.38±7.39 days, ICU length-of-stay was 20.70±8.83 days, and mortality 28 days post-ICU admission was 30%. Non-survivors had higher levels of inflammatory biomarkers, and more unresolved shock, ARDS, AKI, and pulmonary emboli (8% vs. 4 %, p 620 pg/ml) predicted in-hospital mortality for critically ill COVID-19 patients (area-under-the-curve: 0.87, 95% confidence-intervals: 0.81-0.93; p=0.001). No side effects of therapy were recorded. CONCLUSION: In this retrospective case-series, CRRT with the CytoSorb® cartridge provided a safe rescue therapy in life-threatening COVID-19 with associated AKI, ARDS, sepsis, and hyperinflammation.","container-title":"Artificial organs","DOI":"10.1111/aor.13864","issue":"5","note":"publisher: Wiley-Blackwell","page":"E101-E112","title":"Continuous renal replacement therapy with the addition of CytoSorb ® cartridge in critically ill patients with COVID-19 plus acute kidney injury: a case-series.","volume":"45","author":[{"family":"Alharthy","given":"Abdulrahman; Faqihi","suffix":"Fahad; Memish, Ziad A.; Balhamar, Abdullah; Nasim, Nasir; Shahzad, Ahmad; Tamim, Hani; Alqahtani, Saleh A.; Brindley, Peter G.; Karakitsos, Dimitrios"}],"issued":{"date-parts":[["2020"]]}}}],"schema":"https://github.com/citation-style-language/schema/raw/master/csl-citation.json"} </w:instrText>
            </w:r>
            <w:r w:rsidR="00DF2E2C" w:rsidRPr="00483D15">
              <w:rPr>
                <w:snapToGrid/>
                <w:sz w:val="14"/>
                <w:szCs w:val="14"/>
              </w:rPr>
              <w:fldChar w:fldCharType="separate"/>
            </w:r>
            <w:r w:rsidR="00CE32B4" w:rsidRPr="00CE32B4">
              <w:rPr>
                <w:sz w:val="14"/>
              </w:rPr>
              <w:t>[72]</w:t>
            </w:r>
            <w:r w:rsidR="00DF2E2C" w:rsidRPr="00483D15">
              <w:rPr>
                <w:snapToGrid/>
                <w:sz w:val="14"/>
                <w:szCs w:val="14"/>
              </w:rPr>
              <w:fldChar w:fldCharType="end"/>
            </w:r>
          </w:p>
        </w:tc>
        <w:tc>
          <w:tcPr>
            <w:tcW w:w="1251" w:type="dxa"/>
            <w:vAlign w:val="center"/>
            <w:hideMark/>
          </w:tcPr>
          <w:p w14:paraId="642C4EAB"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ARDS, COVID-19</w:t>
            </w:r>
          </w:p>
        </w:tc>
        <w:tc>
          <w:tcPr>
            <w:tcW w:w="656" w:type="dxa"/>
            <w:vAlign w:val="center"/>
            <w:hideMark/>
          </w:tcPr>
          <w:p w14:paraId="12D2D2CF"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50</w:t>
            </w:r>
          </w:p>
        </w:tc>
        <w:tc>
          <w:tcPr>
            <w:tcW w:w="637" w:type="dxa"/>
            <w:vAlign w:val="center"/>
            <w:hideMark/>
          </w:tcPr>
          <w:p w14:paraId="3CEE1D20"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w:t>
            </w:r>
          </w:p>
        </w:tc>
        <w:tc>
          <w:tcPr>
            <w:tcW w:w="1088" w:type="dxa"/>
            <w:vAlign w:val="center"/>
            <w:hideMark/>
          </w:tcPr>
          <w:p w14:paraId="15E02ADF"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case series</w:t>
            </w:r>
          </w:p>
        </w:tc>
        <w:tc>
          <w:tcPr>
            <w:tcW w:w="823" w:type="dxa"/>
            <w:vAlign w:val="center"/>
            <w:hideMark/>
          </w:tcPr>
          <w:p w14:paraId="53D9631C"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proofErr w:type="spellStart"/>
            <w:r w:rsidRPr="00483D15">
              <w:rPr>
                <w:b/>
                <w:snapToGrid/>
                <w:sz w:val="14"/>
                <w:szCs w:val="14"/>
              </w:rPr>
              <w:t>CytoSorb</w:t>
            </w:r>
            <w:proofErr w:type="spellEnd"/>
          </w:p>
        </w:tc>
        <w:tc>
          <w:tcPr>
            <w:tcW w:w="963" w:type="dxa"/>
            <w:vAlign w:val="center"/>
            <w:hideMark/>
          </w:tcPr>
          <w:p w14:paraId="55BC088E"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proofErr w:type="gramStart"/>
            <w:r w:rsidRPr="00483D15">
              <w:rPr>
                <w:b/>
                <w:snapToGrid/>
                <w:sz w:val="14"/>
                <w:szCs w:val="14"/>
              </w:rPr>
              <w:t>2±1</w:t>
            </w:r>
            <w:proofErr w:type="gramEnd"/>
            <w:r w:rsidRPr="00483D15">
              <w:rPr>
                <w:b/>
                <w:snapToGrid/>
                <w:sz w:val="14"/>
                <w:szCs w:val="14"/>
              </w:rPr>
              <w:t xml:space="preserve"> vs 6±2 (survivors vs non-survivors)</w:t>
            </w:r>
          </w:p>
        </w:tc>
        <w:tc>
          <w:tcPr>
            <w:tcW w:w="963" w:type="dxa"/>
            <w:vAlign w:val="center"/>
            <w:hideMark/>
          </w:tcPr>
          <w:p w14:paraId="29A11231"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each for 24h</w:t>
            </w:r>
          </w:p>
        </w:tc>
        <w:tc>
          <w:tcPr>
            <w:tcW w:w="1134" w:type="dxa"/>
            <w:vAlign w:val="center"/>
            <w:hideMark/>
          </w:tcPr>
          <w:p w14:paraId="2343BD24"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improved P/F ratio among survivors, PLT counts were reduced</w:t>
            </w:r>
          </w:p>
        </w:tc>
      </w:tr>
      <w:tr w:rsidR="00DF2E2C" w:rsidRPr="00483D15" w14:paraId="10786E67" w14:textId="77777777" w:rsidTr="00B85C82">
        <w:trPr>
          <w:cnfStyle w:val="000000100000" w:firstRow="0" w:lastRow="0" w:firstColumn="0" w:lastColumn="0" w:oddVBand="0" w:evenVBand="0" w:oddHBand="1" w:evenHBand="0" w:firstRowFirstColumn="0" w:firstRowLastColumn="0" w:lastRowFirstColumn="0" w:lastRowLastColumn="0"/>
          <w:trHeight w:val="710"/>
          <w:jc w:val="center"/>
        </w:trPr>
        <w:tc>
          <w:tcPr>
            <w:cnfStyle w:val="001000000000" w:firstRow="0" w:lastRow="0" w:firstColumn="1" w:lastColumn="0" w:oddVBand="0" w:evenVBand="0" w:oddHBand="0" w:evenHBand="0" w:firstRowFirstColumn="0" w:firstRowLastColumn="0" w:lastRowFirstColumn="0" w:lastRowLastColumn="0"/>
            <w:tcW w:w="1002" w:type="dxa"/>
            <w:vAlign w:val="center"/>
            <w:hideMark/>
          </w:tcPr>
          <w:p w14:paraId="58673A74" w14:textId="1E7DDDA7" w:rsidR="00374825" w:rsidRPr="00483D15" w:rsidRDefault="00374825" w:rsidP="00483D15">
            <w:pPr>
              <w:pStyle w:val="MDPI42tablebody"/>
              <w:spacing w:line="240" w:lineRule="auto"/>
              <w:rPr>
                <w:b w:val="0"/>
                <w:snapToGrid/>
                <w:sz w:val="14"/>
                <w:szCs w:val="14"/>
              </w:rPr>
            </w:pPr>
            <w:proofErr w:type="spellStart"/>
            <w:r w:rsidRPr="00483D15">
              <w:rPr>
                <w:b w:val="0"/>
                <w:snapToGrid/>
                <w:sz w:val="14"/>
                <w:szCs w:val="14"/>
              </w:rPr>
              <w:t>Berlot</w:t>
            </w:r>
            <w:proofErr w:type="spellEnd"/>
            <w:r w:rsidRPr="00483D15">
              <w:rPr>
                <w:b w:val="0"/>
                <w:snapToGrid/>
                <w:sz w:val="14"/>
                <w:szCs w:val="14"/>
              </w:rPr>
              <w:t xml:space="preserve"> et al., 2020</w:t>
            </w:r>
            <w:r w:rsidR="00DF2E2C" w:rsidRPr="00483D15">
              <w:rPr>
                <w:snapToGrid/>
                <w:sz w:val="14"/>
                <w:szCs w:val="14"/>
              </w:rPr>
              <w:fldChar w:fldCharType="begin"/>
            </w:r>
            <w:r w:rsidR="002A3D45">
              <w:rPr>
                <w:b w:val="0"/>
                <w:snapToGrid/>
                <w:sz w:val="14"/>
                <w:szCs w:val="14"/>
              </w:rPr>
              <w:instrText xml:space="preserve"> ADDIN ZOTERO_ITEM CSL_CITATION {"citationID":"w79UEnTD","properties":{"formattedCitation":"[73]","plainCitation":"[73]","noteIndex":0},"citationItems":[{"id":137,"uris":["http://zotero.org/users/local/L5HAWlIW/items/7EDRMVG5"],"itemData":{"id":137,"type":"article-journal","abstract":"The SARS-COV-2-19-associated respiratory involvement is caused by the massive release of inflammatory cytokines ultimately leading to interstitial pneumonia and acute respiratory distress syndrome (ARDS). In the absence of an effective antiviral treatment, a reasonable causal approach could be constituted by the neutralization of these substances. The authors describe the clinical course of a patient with SARS-COV-2-19 interstitial pneumonia treated with the combination of an anti-interleukin 6 (IL-6) agent (tocilizumab) and hemoadsorption (HA). This combination was used to abate the surge of inflammatory mediators leading to the lung damage. Blood levels of IL-6 and C-reactive protein (CRP) were measured before the initiation of the treatment and in the following 3 days. At the end of the treatment, the values of IL-6 and CRP decreased from 1,040 to 415 pg/mL and from 229 to 59 mg/L, respectively. The gas exchanges and the chest imaging rapidly improved, and the patient was extubated 10 days later. The combination of tocilizumab and HA could be valuable in the treatment of SARS-COV-2-19-associated pneumonia and ARDS that are caused by the release of inflammatory mediators.","container-title":"Nephron","DOI":"10.1159/000509738","issue":"9","note":"publisher: S. Karger AG","page":"459-462","title":"The Combined Use of Tocilizumab and Hemoadsorption in a Patient with SARS-COV-2-19-Associated Pneumonia: A Case Report.","volume":"144","author":[{"family":"Berlot","given":"Giorgio; Tomasini","suffix":"Ariella; Pognuz, Erik Roman; Randino, Anna; Chiella, Fabrizio; La Fata, Cristina; Piva, Marco; Amato, Paola; Di Maso, Vittorio; Bianco, Francesco; Gerini, Ugo; Tomietto, Paola; Trenti, Tommaso"}],"issued":{"date-parts":[["2020"]]}}}],"schema":"https://github.com/citation-style-language/schema/raw/master/csl-citation.json"} </w:instrText>
            </w:r>
            <w:r w:rsidR="00DF2E2C" w:rsidRPr="00483D15">
              <w:rPr>
                <w:snapToGrid/>
                <w:sz w:val="14"/>
                <w:szCs w:val="14"/>
              </w:rPr>
              <w:fldChar w:fldCharType="separate"/>
            </w:r>
            <w:r w:rsidR="002A3D45" w:rsidRPr="002A3D45">
              <w:rPr>
                <w:sz w:val="14"/>
              </w:rPr>
              <w:t>[73]</w:t>
            </w:r>
            <w:r w:rsidR="00DF2E2C" w:rsidRPr="00483D15">
              <w:rPr>
                <w:snapToGrid/>
                <w:sz w:val="14"/>
                <w:szCs w:val="14"/>
              </w:rPr>
              <w:fldChar w:fldCharType="end"/>
            </w:r>
          </w:p>
        </w:tc>
        <w:tc>
          <w:tcPr>
            <w:tcW w:w="1251" w:type="dxa"/>
            <w:vAlign w:val="center"/>
            <w:hideMark/>
          </w:tcPr>
          <w:p w14:paraId="0B3A49F0"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ARDS, COVID-19</w:t>
            </w:r>
          </w:p>
        </w:tc>
        <w:tc>
          <w:tcPr>
            <w:tcW w:w="656" w:type="dxa"/>
            <w:vAlign w:val="center"/>
            <w:hideMark/>
          </w:tcPr>
          <w:p w14:paraId="56332ED7"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1</w:t>
            </w:r>
          </w:p>
        </w:tc>
        <w:tc>
          <w:tcPr>
            <w:tcW w:w="637" w:type="dxa"/>
            <w:vAlign w:val="center"/>
            <w:hideMark/>
          </w:tcPr>
          <w:p w14:paraId="0498BFDB"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w:t>
            </w:r>
          </w:p>
        </w:tc>
        <w:tc>
          <w:tcPr>
            <w:tcW w:w="1088" w:type="dxa"/>
            <w:vAlign w:val="center"/>
            <w:hideMark/>
          </w:tcPr>
          <w:p w14:paraId="7304EE8D"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case report</w:t>
            </w:r>
          </w:p>
        </w:tc>
        <w:tc>
          <w:tcPr>
            <w:tcW w:w="823" w:type="dxa"/>
            <w:vAlign w:val="center"/>
            <w:hideMark/>
          </w:tcPr>
          <w:p w14:paraId="1F4087B1"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proofErr w:type="spellStart"/>
            <w:r w:rsidRPr="00483D15">
              <w:rPr>
                <w:b/>
                <w:snapToGrid/>
                <w:sz w:val="14"/>
                <w:szCs w:val="14"/>
              </w:rPr>
              <w:t>CytoSorb</w:t>
            </w:r>
            <w:proofErr w:type="spellEnd"/>
          </w:p>
        </w:tc>
        <w:tc>
          <w:tcPr>
            <w:tcW w:w="963" w:type="dxa"/>
            <w:vAlign w:val="center"/>
            <w:hideMark/>
          </w:tcPr>
          <w:p w14:paraId="09A25D82"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3</w:t>
            </w:r>
          </w:p>
        </w:tc>
        <w:tc>
          <w:tcPr>
            <w:tcW w:w="963" w:type="dxa"/>
            <w:vAlign w:val="center"/>
            <w:hideMark/>
          </w:tcPr>
          <w:p w14:paraId="34E9ED4A"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each for 24h</w:t>
            </w:r>
          </w:p>
        </w:tc>
        <w:tc>
          <w:tcPr>
            <w:tcW w:w="1134" w:type="dxa"/>
            <w:vAlign w:val="center"/>
            <w:hideMark/>
          </w:tcPr>
          <w:p w14:paraId="0D40F80B"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improved P/F ratio, reduced CRP and IL-6,</w:t>
            </w:r>
          </w:p>
        </w:tc>
      </w:tr>
      <w:tr w:rsidR="00DF2E2C" w:rsidRPr="00483D15" w14:paraId="1A2AF507" w14:textId="77777777" w:rsidTr="00B85C82">
        <w:trPr>
          <w:trHeight w:val="876"/>
          <w:jc w:val="center"/>
        </w:trPr>
        <w:tc>
          <w:tcPr>
            <w:cnfStyle w:val="001000000000" w:firstRow="0" w:lastRow="0" w:firstColumn="1" w:lastColumn="0" w:oddVBand="0" w:evenVBand="0" w:oddHBand="0" w:evenHBand="0" w:firstRowFirstColumn="0" w:firstRowLastColumn="0" w:lastRowFirstColumn="0" w:lastRowLastColumn="0"/>
            <w:tcW w:w="1002" w:type="dxa"/>
            <w:vAlign w:val="center"/>
            <w:hideMark/>
          </w:tcPr>
          <w:p w14:paraId="773025EE" w14:textId="4F75F9F2" w:rsidR="00374825" w:rsidRPr="00483D15" w:rsidRDefault="00374825" w:rsidP="00483D15">
            <w:pPr>
              <w:pStyle w:val="MDPI42tablebody"/>
              <w:spacing w:line="240" w:lineRule="auto"/>
              <w:rPr>
                <w:b w:val="0"/>
                <w:snapToGrid/>
                <w:sz w:val="14"/>
                <w:szCs w:val="14"/>
                <w:highlight w:val="yellow"/>
              </w:rPr>
            </w:pPr>
            <w:proofErr w:type="spellStart"/>
            <w:r w:rsidRPr="00483D15">
              <w:rPr>
                <w:b w:val="0"/>
                <w:snapToGrid/>
                <w:sz w:val="14"/>
                <w:szCs w:val="14"/>
              </w:rPr>
              <w:t>Berlot</w:t>
            </w:r>
            <w:proofErr w:type="spellEnd"/>
            <w:r w:rsidRPr="00483D15">
              <w:rPr>
                <w:b w:val="0"/>
                <w:snapToGrid/>
                <w:sz w:val="14"/>
                <w:szCs w:val="14"/>
              </w:rPr>
              <w:t xml:space="preserve"> et al., 2021</w:t>
            </w:r>
            <w:r w:rsidR="001D4EAF" w:rsidRPr="00483D15">
              <w:rPr>
                <w:snapToGrid/>
                <w:sz w:val="14"/>
                <w:szCs w:val="14"/>
              </w:rPr>
              <w:fldChar w:fldCharType="begin"/>
            </w:r>
            <w:r w:rsidR="00B351E8">
              <w:rPr>
                <w:b w:val="0"/>
                <w:snapToGrid/>
                <w:sz w:val="14"/>
                <w:szCs w:val="14"/>
              </w:rPr>
              <w:instrText xml:space="preserve"> ADDIN ZOTERO_ITEM CSL_CITATION {"citationID":"zKOpnjII","properties":{"formattedCitation":"[74]","plainCitation":"[74]","noteIndex":0},"citationItems":[{"id":100,"uris":["http://zotero.org/users/local/L5HAWlIW/items/IXR45MVM"],"itemData":{"id":100,"type":"article-journal","abstract":"Objective:\n              To assess the variations of Interleukin-6 (IL-6) in patients with SARS-CoV-2 infection treated with Tocilizumab (TCZ) alone or in association with hemoadsorption (HA).\n            \n            \n              Design:\n              Retrospective.\n            \n            \n              Setting:\n              An Intensive Care Unit (ICU) admitting mechanically ventilated patients with SARS-CoV-2 pneumonia.\n            \n            \n              Patients:\n              Four adult patients.\n            \n            \n              Interventions:\n              \n                We compared the blood values of IL-6, C-reactive protein (CRP) and of other biochemical variables including the PaO\n                2\n                /FiO\n                2\n                in two patients who received TCZ alone and in other 2 in whom it was associated with the HA (TCZ-HA) due to the presence of impending or established organ failures other than the lung. All variables were measured before, during and after the treatment.\n              \n            \n            \n              Main results:\n              \n                In all patients, the IL-6 increased during the treatment; after its termination, its values sharply decreased only in those treated also with HA; conversely, the CRP decreased in all patients; the PaO\n                2\n                /FiO\n                2\n                increased in three patients and remained stable in the remaining one. Both the TCZ and the HA were well tolerated; all patients were weaned from the mechanical ventilation and discharged from the hospital.\n              \n            \n            \n              Limitations:\n              Although the limited number of patients does not allow to draw firm conclusions, the increase of the IL-6 of can be ascribed to its displacement from cellular and soluble receptors, whereas its decrease is likely due to the scavenging effect exerted by the HA. Although the association TCZ-HA could be valuable in the treatment of the Cytokine Release Storm (CRS) associated with the SARS-CoV-2, the HA could be more effective as it neutralizes a wider panel of inflammatory mediators.","container-title":"The International Journal of Artificial Organs","DOI":"10.1177/0391398821989334","ISSN":"0391-3988, 1724-6040","issue":"1","journalAbbreviation":"Int J Artif Organs","language":"en","page":"75-80","source":"DOI.org (Crossref)","title":"Effects of tocilizumab versus hemoadsorption combined with tocilizumab in patients with SARS-CoV-2 pneumonia: Preliminary results","title-short":"Effects of tocilizumab versus hemoadsorption combined with tocilizumab in patients with SARS-CoV-2 pneumonia","volume":"45","author":[{"family":"Berlot","given":"Giorgio"},{"family":"Pintacuda","given":"Stefania"},{"family":"Moro","given":"Edoardo"},{"family":"Paluzzano","given":"Giacomo"},{"family":"Scamperle","given":"Alice"},{"family":"Chillemi","given":"Antonino"},{"family":"Longo","given":"Irene"},{"family":"Dattola","given":"Roberto"},{"family":"Roman-Pognuz","given":"Erik"},{"family":"Tomasini","given":"Ariella"}],"issued":{"date-parts":[["2022",1]]}}}],"schema":"https://github.com/citation-style-language/schema/raw/master/csl-citation.json"} </w:instrText>
            </w:r>
            <w:r w:rsidR="001D4EAF" w:rsidRPr="00483D15">
              <w:rPr>
                <w:snapToGrid/>
                <w:sz w:val="14"/>
                <w:szCs w:val="14"/>
              </w:rPr>
              <w:fldChar w:fldCharType="separate"/>
            </w:r>
            <w:r w:rsidR="00B351E8" w:rsidRPr="00B351E8">
              <w:rPr>
                <w:sz w:val="14"/>
              </w:rPr>
              <w:t>[74]</w:t>
            </w:r>
            <w:r w:rsidR="001D4EAF" w:rsidRPr="00483D15">
              <w:rPr>
                <w:snapToGrid/>
                <w:sz w:val="14"/>
                <w:szCs w:val="14"/>
              </w:rPr>
              <w:fldChar w:fldCharType="end"/>
            </w:r>
          </w:p>
        </w:tc>
        <w:tc>
          <w:tcPr>
            <w:tcW w:w="1251" w:type="dxa"/>
            <w:vAlign w:val="center"/>
            <w:hideMark/>
          </w:tcPr>
          <w:p w14:paraId="0D2C045D"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ARDS, COVID-19</w:t>
            </w:r>
          </w:p>
        </w:tc>
        <w:tc>
          <w:tcPr>
            <w:tcW w:w="656" w:type="dxa"/>
            <w:vAlign w:val="center"/>
            <w:hideMark/>
          </w:tcPr>
          <w:p w14:paraId="6CB022A6"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2</w:t>
            </w:r>
          </w:p>
        </w:tc>
        <w:tc>
          <w:tcPr>
            <w:tcW w:w="637" w:type="dxa"/>
            <w:vAlign w:val="center"/>
            <w:hideMark/>
          </w:tcPr>
          <w:p w14:paraId="3C2E235B"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w:t>
            </w:r>
          </w:p>
        </w:tc>
        <w:tc>
          <w:tcPr>
            <w:tcW w:w="1088" w:type="dxa"/>
            <w:vAlign w:val="center"/>
            <w:hideMark/>
          </w:tcPr>
          <w:p w14:paraId="510F2702"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retrospective observational</w:t>
            </w:r>
          </w:p>
        </w:tc>
        <w:tc>
          <w:tcPr>
            <w:tcW w:w="823" w:type="dxa"/>
            <w:vAlign w:val="center"/>
            <w:hideMark/>
          </w:tcPr>
          <w:p w14:paraId="4D586678"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proofErr w:type="spellStart"/>
            <w:r w:rsidRPr="00483D15">
              <w:rPr>
                <w:b/>
                <w:snapToGrid/>
                <w:sz w:val="14"/>
                <w:szCs w:val="14"/>
              </w:rPr>
              <w:t>CytoSorb</w:t>
            </w:r>
            <w:proofErr w:type="spellEnd"/>
          </w:p>
        </w:tc>
        <w:tc>
          <w:tcPr>
            <w:tcW w:w="963" w:type="dxa"/>
            <w:vAlign w:val="center"/>
            <w:hideMark/>
          </w:tcPr>
          <w:p w14:paraId="535FF544"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3</w:t>
            </w:r>
          </w:p>
        </w:tc>
        <w:tc>
          <w:tcPr>
            <w:tcW w:w="963" w:type="dxa"/>
            <w:vAlign w:val="center"/>
            <w:hideMark/>
          </w:tcPr>
          <w:p w14:paraId="23510C38"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each for 24h</w:t>
            </w:r>
          </w:p>
        </w:tc>
        <w:tc>
          <w:tcPr>
            <w:tcW w:w="1134" w:type="dxa"/>
            <w:vAlign w:val="center"/>
            <w:hideMark/>
          </w:tcPr>
          <w:p w14:paraId="774E8400"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PaO2/FiO2 ratio improved or remained stable, CRP, IL-6 decreased after HA</w:t>
            </w:r>
          </w:p>
        </w:tc>
      </w:tr>
      <w:tr w:rsidR="00DF2E2C" w:rsidRPr="00483D15" w14:paraId="160055C6" w14:textId="77777777" w:rsidTr="00B85C82">
        <w:trPr>
          <w:cnfStyle w:val="000000100000" w:firstRow="0" w:lastRow="0" w:firstColumn="0" w:lastColumn="0" w:oddVBand="0" w:evenVBand="0" w:oddHBand="1" w:evenHBand="0" w:firstRowFirstColumn="0" w:firstRowLastColumn="0" w:lastRowFirstColumn="0" w:lastRowLastColumn="0"/>
          <w:trHeight w:val="876"/>
          <w:jc w:val="center"/>
        </w:trPr>
        <w:tc>
          <w:tcPr>
            <w:cnfStyle w:val="001000000000" w:firstRow="0" w:lastRow="0" w:firstColumn="1" w:lastColumn="0" w:oddVBand="0" w:evenVBand="0" w:oddHBand="0" w:evenHBand="0" w:firstRowFirstColumn="0" w:firstRowLastColumn="0" w:lastRowFirstColumn="0" w:lastRowLastColumn="0"/>
            <w:tcW w:w="1002" w:type="dxa"/>
            <w:vAlign w:val="center"/>
            <w:hideMark/>
          </w:tcPr>
          <w:p w14:paraId="7D06DF49" w14:textId="5C3533C6" w:rsidR="00374825" w:rsidRPr="00483D15" w:rsidRDefault="00374825" w:rsidP="00483D15">
            <w:pPr>
              <w:pStyle w:val="MDPI42tablebody"/>
              <w:spacing w:line="240" w:lineRule="auto"/>
              <w:rPr>
                <w:b w:val="0"/>
                <w:snapToGrid/>
                <w:sz w:val="14"/>
                <w:szCs w:val="14"/>
              </w:rPr>
            </w:pPr>
            <w:r w:rsidRPr="00483D15">
              <w:rPr>
                <w:b w:val="0"/>
                <w:snapToGrid/>
                <w:sz w:val="14"/>
                <w:szCs w:val="14"/>
              </w:rPr>
              <w:t>David et al., 2017</w:t>
            </w:r>
            <w:r w:rsidR="00DF2E2C" w:rsidRPr="00483D15">
              <w:rPr>
                <w:snapToGrid/>
                <w:sz w:val="14"/>
                <w:szCs w:val="14"/>
              </w:rPr>
              <w:fldChar w:fldCharType="begin"/>
            </w:r>
            <w:r w:rsidR="009C2999">
              <w:rPr>
                <w:b w:val="0"/>
                <w:snapToGrid/>
                <w:sz w:val="14"/>
                <w:szCs w:val="14"/>
              </w:rPr>
              <w:instrText xml:space="preserve"> ADDIN ZOTERO_ITEM CSL_CITATION {"citationID":"i9MWMDbH","properties":{"formattedCitation":"[75]","plainCitation":"[75]","noteIndex":0},"citationItems":[{"id":101,"uris":["http://zotero.org/users/local/L5HAWlIW/items/3Y4FF6JA"],"itemData":{"id":101,"type":"article-journal","container-title":"Journal of Intensive Care","DOI":"10.1186/s40560-017-0208-1","ISSN":"2052-0492","issue":"1","journalAbbreviation":"j intensive care","language":"en","page":"12","source":"DOI.org (Crossref)","title":"Effect of extracorporeal cytokine removal on vascular barrier function in a septic shock patient","volume":"5","author":[{"family":"David","given":"Sascha"},{"family":"Thamm","given":"Kristina"},{"family":"Schmidt","given":"Bernhard M. W."},{"family":"Falk","given":"Christine S."},{"family":"Kielstein","given":"Jan T."}],"issued":{"date-parts":[["2017",12]]}}}],"schema":"https://github.com/citation-style-language/schema/raw/master/csl-citation.json"} </w:instrText>
            </w:r>
            <w:r w:rsidR="00DF2E2C" w:rsidRPr="00483D15">
              <w:rPr>
                <w:snapToGrid/>
                <w:sz w:val="14"/>
                <w:szCs w:val="14"/>
              </w:rPr>
              <w:fldChar w:fldCharType="separate"/>
            </w:r>
            <w:r w:rsidR="009C2999" w:rsidRPr="009C2999">
              <w:rPr>
                <w:sz w:val="14"/>
              </w:rPr>
              <w:t>[75]</w:t>
            </w:r>
            <w:r w:rsidR="00DF2E2C" w:rsidRPr="00483D15">
              <w:rPr>
                <w:snapToGrid/>
                <w:sz w:val="14"/>
                <w:szCs w:val="14"/>
              </w:rPr>
              <w:fldChar w:fldCharType="end"/>
            </w:r>
          </w:p>
        </w:tc>
        <w:tc>
          <w:tcPr>
            <w:tcW w:w="1251" w:type="dxa"/>
            <w:vAlign w:val="center"/>
            <w:hideMark/>
          </w:tcPr>
          <w:p w14:paraId="0BB0FA3E"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ARDS, influenza pneumonia</w:t>
            </w:r>
          </w:p>
        </w:tc>
        <w:tc>
          <w:tcPr>
            <w:tcW w:w="656" w:type="dxa"/>
            <w:vAlign w:val="center"/>
            <w:hideMark/>
          </w:tcPr>
          <w:p w14:paraId="1F7CE6C8"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1</w:t>
            </w:r>
          </w:p>
        </w:tc>
        <w:tc>
          <w:tcPr>
            <w:tcW w:w="637" w:type="dxa"/>
            <w:vAlign w:val="center"/>
            <w:hideMark/>
          </w:tcPr>
          <w:p w14:paraId="15AE3A5C"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w:t>
            </w:r>
          </w:p>
        </w:tc>
        <w:tc>
          <w:tcPr>
            <w:tcW w:w="1088" w:type="dxa"/>
            <w:vAlign w:val="center"/>
            <w:hideMark/>
          </w:tcPr>
          <w:p w14:paraId="58019BA2"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case report</w:t>
            </w:r>
          </w:p>
        </w:tc>
        <w:tc>
          <w:tcPr>
            <w:tcW w:w="823" w:type="dxa"/>
            <w:vAlign w:val="center"/>
            <w:hideMark/>
          </w:tcPr>
          <w:p w14:paraId="50BC893E"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proofErr w:type="spellStart"/>
            <w:r w:rsidRPr="00483D15">
              <w:rPr>
                <w:b/>
                <w:snapToGrid/>
                <w:sz w:val="14"/>
                <w:szCs w:val="14"/>
              </w:rPr>
              <w:t>CytoSorb</w:t>
            </w:r>
            <w:proofErr w:type="spellEnd"/>
          </w:p>
        </w:tc>
        <w:tc>
          <w:tcPr>
            <w:tcW w:w="963" w:type="dxa"/>
            <w:vAlign w:val="center"/>
            <w:hideMark/>
          </w:tcPr>
          <w:p w14:paraId="6BE9DEDF"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1</w:t>
            </w:r>
          </w:p>
        </w:tc>
        <w:tc>
          <w:tcPr>
            <w:tcW w:w="963" w:type="dxa"/>
            <w:vAlign w:val="center"/>
            <w:hideMark/>
          </w:tcPr>
          <w:p w14:paraId="0617F891"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24h</w:t>
            </w:r>
          </w:p>
        </w:tc>
        <w:tc>
          <w:tcPr>
            <w:tcW w:w="1134" w:type="dxa"/>
            <w:vAlign w:val="center"/>
            <w:hideMark/>
          </w:tcPr>
          <w:p w14:paraId="60A78759"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Reduction in CRP, PCT, Hgb and NA requirements and improved P/F ratio 24 h after HA</w:t>
            </w:r>
          </w:p>
        </w:tc>
      </w:tr>
      <w:tr w:rsidR="00DF2E2C" w:rsidRPr="00483D15" w14:paraId="13DE784E" w14:textId="77777777" w:rsidTr="00B85C82">
        <w:trPr>
          <w:trHeight w:val="1168"/>
          <w:jc w:val="center"/>
        </w:trPr>
        <w:tc>
          <w:tcPr>
            <w:cnfStyle w:val="001000000000" w:firstRow="0" w:lastRow="0" w:firstColumn="1" w:lastColumn="0" w:oddVBand="0" w:evenVBand="0" w:oddHBand="0" w:evenHBand="0" w:firstRowFirstColumn="0" w:firstRowLastColumn="0" w:lastRowFirstColumn="0" w:lastRowLastColumn="0"/>
            <w:tcW w:w="1002" w:type="dxa"/>
            <w:vAlign w:val="center"/>
            <w:hideMark/>
          </w:tcPr>
          <w:p w14:paraId="25E74ABF" w14:textId="3662CD46" w:rsidR="00374825" w:rsidRPr="00483D15" w:rsidRDefault="00374825" w:rsidP="00483D15">
            <w:pPr>
              <w:pStyle w:val="MDPI42tablebody"/>
              <w:spacing w:line="240" w:lineRule="auto"/>
              <w:rPr>
                <w:b w:val="0"/>
                <w:snapToGrid/>
                <w:sz w:val="14"/>
                <w:szCs w:val="14"/>
              </w:rPr>
            </w:pPr>
            <w:r w:rsidRPr="00483D15">
              <w:rPr>
                <w:b w:val="0"/>
                <w:snapToGrid/>
                <w:sz w:val="14"/>
                <w:szCs w:val="14"/>
              </w:rPr>
              <w:t>Geraci et al. 2021</w:t>
            </w:r>
            <w:r w:rsidR="00DF2E2C" w:rsidRPr="00483D15">
              <w:rPr>
                <w:snapToGrid/>
                <w:sz w:val="14"/>
                <w:szCs w:val="14"/>
              </w:rPr>
              <w:fldChar w:fldCharType="begin"/>
            </w:r>
            <w:r w:rsidR="00182361">
              <w:rPr>
                <w:b w:val="0"/>
                <w:snapToGrid/>
                <w:sz w:val="14"/>
                <w:szCs w:val="14"/>
              </w:rPr>
              <w:instrText xml:space="preserve"> ADDIN ZOTERO_ITEM CSL_CITATION {"citationID":"KViUilxp","properties":{"formattedCitation":"[76]","plainCitation":"[76]","noteIndex":0},"citationItems":[{"id":1031,"uris":["http://zotero.org/users/local/L5HAWlIW/items/XD3S8C9H"],"itemData":{"id":1031,"type":"article-journal","abstract":"BACKGROUND AND AIM: Patients with severe coronavirus disease 2019 (COVID-19) develop a profound cytokine-mediated pro-inflammatory response. This study  reports outcomes in 10 patients with COVID-19 supported on veno-venous  extracorporeal membrane oxygenation (VV-ECMO) who were selected for the emergency  use of a hemoadsorption column integrated in the ECMO circuit. MATERIALS AND  METHODS: Pre and posttreatment, clinical data, and inflammatory markers were  assessed to determine the safety and feasibility of using this system and to  evaluate the clinical effect. RESULTS: During hemoadsorption, median levels of  interleukin (IL)-2R, IL-6, and IL-10 decreased by 54%, 86%, and 64%,  respectively. Reductions in other markers were observed for lactate dehydrogenase  (-49%), ferritin (-46%), d-dimer (-7%), C-reactive protein (-55%), procalcitonin  (-76%), and lactate (-44%). Vasoactive-inotrope scores decreased significantly  over the treatment interval (-80%). The median hospital length of stay was 53  days (36-85) and at 90-days post cannulation, survival was 90% which was similar  to a group of patients without the use of hemoadsorption. CONCLUSIONS: Addition  of hemoadsorption to VV-ECMO in patients with severe COVID-19 is feasible and  reduces measured cytokine levels. However, in this small series, the precise  impact on the overall clinical course and survival benefit still remains unknown.","container-title":"Journal of cardiac surgery","DOI":"10.1111/jocs.15785","ISSN":"1540-8191 0886-0440","issue":"11","journalAbbreviation":"J Card Surg","language":"eng","license":"© 2021 Wiley Periodicals LLC.","note":"publisher-place: United States\nPMID: 34219277 \nPMCID: PMC8447331","page":"4256-4264","title":"Hemoadsorption for management of patients on veno-venous ECMO support for severe COVID-19 acute respiratory distress syndrome.","volume":"36","author":[{"family":"Geraci","given":"Travis C."},{"family":"Kon","given":"Zachary N."},{"family":"Moazami","given":"Nader"},{"family":"Chang","given":"Stephanie H."},{"family":"Carillo","given":"Julius"},{"family":"Chen","given":"Stacey"},{"family":"Fargnoli","given":"Anthony"},{"family":"Alimi","given":"Marjan"},{"family":"Pass","given":"Harvey"},{"family":"Galloway","given":"Aubrey"},{"family":"Smith","given":"Deane E."}],"issued":{"date-parts":[["2021",11]]}}}],"schema":"https://github.com/citation-style-language/schema/raw/master/csl-citation.json"} </w:instrText>
            </w:r>
            <w:r w:rsidR="00DF2E2C" w:rsidRPr="00483D15">
              <w:rPr>
                <w:snapToGrid/>
                <w:sz w:val="14"/>
                <w:szCs w:val="14"/>
              </w:rPr>
              <w:fldChar w:fldCharType="separate"/>
            </w:r>
            <w:r w:rsidR="00182361" w:rsidRPr="00182361">
              <w:rPr>
                <w:sz w:val="14"/>
              </w:rPr>
              <w:t>[76]</w:t>
            </w:r>
            <w:r w:rsidR="00DF2E2C" w:rsidRPr="00483D15">
              <w:rPr>
                <w:snapToGrid/>
                <w:sz w:val="14"/>
                <w:szCs w:val="14"/>
              </w:rPr>
              <w:fldChar w:fldCharType="end"/>
            </w:r>
          </w:p>
        </w:tc>
        <w:tc>
          <w:tcPr>
            <w:tcW w:w="1251" w:type="dxa"/>
            <w:vAlign w:val="center"/>
            <w:hideMark/>
          </w:tcPr>
          <w:p w14:paraId="352B559B"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ARDS, COVID-19</w:t>
            </w:r>
          </w:p>
        </w:tc>
        <w:tc>
          <w:tcPr>
            <w:tcW w:w="656" w:type="dxa"/>
            <w:vAlign w:val="center"/>
            <w:hideMark/>
          </w:tcPr>
          <w:p w14:paraId="5A7FFB71"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10</w:t>
            </w:r>
          </w:p>
        </w:tc>
        <w:tc>
          <w:tcPr>
            <w:tcW w:w="637" w:type="dxa"/>
            <w:vAlign w:val="center"/>
            <w:hideMark/>
          </w:tcPr>
          <w:p w14:paraId="7ADDF99C"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w:t>
            </w:r>
          </w:p>
        </w:tc>
        <w:tc>
          <w:tcPr>
            <w:tcW w:w="1088" w:type="dxa"/>
            <w:vAlign w:val="center"/>
            <w:hideMark/>
          </w:tcPr>
          <w:p w14:paraId="30BDD487"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case series</w:t>
            </w:r>
          </w:p>
        </w:tc>
        <w:tc>
          <w:tcPr>
            <w:tcW w:w="823" w:type="dxa"/>
            <w:vAlign w:val="center"/>
            <w:hideMark/>
          </w:tcPr>
          <w:p w14:paraId="7D8F0672"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proofErr w:type="spellStart"/>
            <w:r w:rsidRPr="00483D15">
              <w:rPr>
                <w:b/>
                <w:snapToGrid/>
                <w:sz w:val="14"/>
                <w:szCs w:val="14"/>
              </w:rPr>
              <w:t>CytoSorb</w:t>
            </w:r>
            <w:proofErr w:type="spellEnd"/>
          </w:p>
        </w:tc>
        <w:tc>
          <w:tcPr>
            <w:tcW w:w="963" w:type="dxa"/>
            <w:vAlign w:val="center"/>
            <w:hideMark/>
          </w:tcPr>
          <w:p w14:paraId="72F74796"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w:t>
            </w:r>
          </w:p>
        </w:tc>
        <w:tc>
          <w:tcPr>
            <w:tcW w:w="963" w:type="dxa"/>
            <w:vAlign w:val="center"/>
            <w:hideMark/>
          </w:tcPr>
          <w:p w14:paraId="13822F38"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 xml:space="preserve">2 in the first 24 </w:t>
            </w:r>
            <w:proofErr w:type="gramStart"/>
            <w:r w:rsidRPr="00483D15">
              <w:rPr>
                <w:b/>
                <w:snapToGrid/>
                <w:sz w:val="14"/>
                <w:szCs w:val="14"/>
              </w:rPr>
              <w:t>hour</w:t>
            </w:r>
            <w:proofErr w:type="gramEnd"/>
            <w:r w:rsidRPr="00483D15">
              <w:rPr>
                <w:b/>
                <w:snapToGrid/>
                <w:sz w:val="14"/>
                <w:szCs w:val="14"/>
              </w:rPr>
              <w:t>, then 1 every 24h</w:t>
            </w:r>
          </w:p>
        </w:tc>
        <w:tc>
          <w:tcPr>
            <w:tcW w:w="1134" w:type="dxa"/>
            <w:vAlign w:val="center"/>
            <w:hideMark/>
          </w:tcPr>
          <w:p w14:paraId="045A3636"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HA is a feasible and safe treatment, HA reduced inflammatory markers</w:t>
            </w:r>
          </w:p>
        </w:tc>
      </w:tr>
      <w:tr w:rsidR="00DF2E2C" w:rsidRPr="00483D15" w14:paraId="3FAA8215" w14:textId="77777777" w:rsidTr="00B85C82">
        <w:trPr>
          <w:cnfStyle w:val="000000100000" w:firstRow="0" w:lastRow="0" w:firstColumn="0" w:lastColumn="0" w:oddVBand="0" w:evenVBand="0" w:oddHBand="1" w:evenHBand="0" w:firstRowFirstColumn="0" w:firstRowLastColumn="0" w:lastRowFirstColumn="0" w:lastRowLastColumn="0"/>
          <w:trHeight w:val="1460"/>
          <w:jc w:val="center"/>
        </w:trPr>
        <w:tc>
          <w:tcPr>
            <w:cnfStyle w:val="001000000000" w:firstRow="0" w:lastRow="0" w:firstColumn="1" w:lastColumn="0" w:oddVBand="0" w:evenVBand="0" w:oddHBand="0" w:evenHBand="0" w:firstRowFirstColumn="0" w:firstRowLastColumn="0" w:lastRowFirstColumn="0" w:lastRowLastColumn="0"/>
            <w:tcW w:w="1002" w:type="dxa"/>
            <w:vAlign w:val="center"/>
            <w:hideMark/>
          </w:tcPr>
          <w:p w14:paraId="58BA1523" w14:textId="2B9D488E" w:rsidR="00374825" w:rsidRPr="00483D15" w:rsidRDefault="00374825" w:rsidP="00483D15">
            <w:pPr>
              <w:pStyle w:val="MDPI42tablebody"/>
              <w:spacing w:line="240" w:lineRule="auto"/>
              <w:rPr>
                <w:b w:val="0"/>
                <w:snapToGrid/>
                <w:color w:val="FF0000"/>
                <w:sz w:val="14"/>
                <w:szCs w:val="14"/>
              </w:rPr>
            </w:pPr>
            <w:r w:rsidRPr="00483D15">
              <w:rPr>
                <w:b w:val="0"/>
                <w:snapToGrid/>
                <w:color w:val="auto"/>
                <w:sz w:val="14"/>
                <w:szCs w:val="14"/>
              </w:rPr>
              <w:t>Huang et al, 2012</w:t>
            </w:r>
            <w:r w:rsidR="003B6301" w:rsidRPr="00483D15">
              <w:rPr>
                <w:snapToGrid/>
                <w:color w:val="auto"/>
                <w:sz w:val="14"/>
                <w:szCs w:val="14"/>
              </w:rPr>
              <w:fldChar w:fldCharType="begin"/>
            </w:r>
            <w:r w:rsidR="006520E5">
              <w:rPr>
                <w:b w:val="0"/>
                <w:snapToGrid/>
                <w:color w:val="auto"/>
                <w:sz w:val="14"/>
                <w:szCs w:val="14"/>
              </w:rPr>
              <w:instrText xml:space="preserve"> ADDIN ZOTERO_ITEM CSL_CITATION {"citationID":"hEXI6357","properties":{"formattedCitation":"[92]","plainCitation":"[92]","noteIndex":0},"citationItems":[{"id":907,"uris":["http://zotero.org/users/local/L5HAWlIW/items/KNHRHBVD"],"itemData":{"id":907,"type":"article-journal","container-title":"Therapeutic Apheresis and Dialysis","DOI":"10.1111/j.1744-9987.2012.01083.x","ISSN":"17449979","issue":"4","journalAbbreviation":"Ther Apher Dial","language":"en","page":"454-461","source":"DOI.org (Crossref)","title":"Effect on Extrapulmonary Sepsis-Induced Acute Lung Injury by Hemoperfusion With Neutral Microporous Resin Column: Effect of Hemoperfusion on Sepsis","title-short":"Effect on Extrapulmonary Sepsis-Induced Acute Lung Injury by Hemoperfusion With Neutral Microporous Resin Column","volume":"17","author":[{"family":"Huang","given":"Zhao"},{"family":"Wang","given":"Si-rong"},{"family":"Yang","given":"Zi-li"},{"family":"Liu","given":"Ji-yun"}],"issued":{"date-parts":[["2013",8]]}}}],"schema":"https://github.com/citation-style-language/schema/raw/master/csl-citation.json"} </w:instrText>
            </w:r>
            <w:r w:rsidR="003B6301" w:rsidRPr="00483D15">
              <w:rPr>
                <w:snapToGrid/>
                <w:color w:val="auto"/>
                <w:sz w:val="14"/>
                <w:szCs w:val="14"/>
              </w:rPr>
              <w:fldChar w:fldCharType="separate"/>
            </w:r>
            <w:r w:rsidR="006520E5" w:rsidRPr="006520E5">
              <w:rPr>
                <w:sz w:val="14"/>
              </w:rPr>
              <w:t>[92]</w:t>
            </w:r>
            <w:r w:rsidR="003B6301" w:rsidRPr="00483D15">
              <w:rPr>
                <w:snapToGrid/>
                <w:color w:val="auto"/>
                <w:sz w:val="14"/>
                <w:szCs w:val="14"/>
              </w:rPr>
              <w:fldChar w:fldCharType="end"/>
            </w:r>
          </w:p>
        </w:tc>
        <w:tc>
          <w:tcPr>
            <w:tcW w:w="1251" w:type="dxa"/>
            <w:vAlign w:val="center"/>
            <w:hideMark/>
          </w:tcPr>
          <w:p w14:paraId="75C9C085"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acute lung injury induced by extrapulmonary sepsis</w:t>
            </w:r>
          </w:p>
        </w:tc>
        <w:tc>
          <w:tcPr>
            <w:tcW w:w="656" w:type="dxa"/>
            <w:vAlign w:val="center"/>
            <w:hideMark/>
          </w:tcPr>
          <w:p w14:paraId="57EBA23B"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25</w:t>
            </w:r>
          </w:p>
        </w:tc>
        <w:tc>
          <w:tcPr>
            <w:tcW w:w="637" w:type="dxa"/>
            <w:vAlign w:val="center"/>
            <w:hideMark/>
          </w:tcPr>
          <w:p w14:paraId="05BB8B47"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21</w:t>
            </w:r>
          </w:p>
        </w:tc>
        <w:tc>
          <w:tcPr>
            <w:tcW w:w="1088" w:type="dxa"/>
            <w:vAlign w:val="center"/>
            <w:hideMark/>
          </w:tcPr>
          <w:p w14:paraId="06DACE1B"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RCT</w:t>
            </w:r>
          </w:p>
        </w:tc>
        <w:tc>
          <w:tcPr>
            <w:tcW w:w="823" w:type="dxa"/>
            <w:vAlign w:val="center"/>
            <w:hideMark/>
          </w:tcPr>
          <w:p w14:paraId="132194D6"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HA-330</w:t>
            </w:r>
          </w:p>
        </w:tc>
        <w:tc>
          <w:tcPr>
            <w:tcW w:w="963" w:type="dxa"/>
            <w:vAlign w:val="center"/>
            <w:hideMark/>
          </w:tcPr>
          <w:p w14:paraId="0A57A3F9"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once a day for three consecutive days.</w:t>
            </w:r>
          </w:p>
        </w:tc>
        <w:tc>
          <w:tcPr>
            <w:tcW w:w="963" w:type="dxa"/>
            <w:vAlign w:val="center"/>
            <w:hideMark/>
          </w:tcPr>
          <w:p w14:paraId="5F3A2CD8"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each for 2 h</w:t>
            </w:r>
          </w:p>
        </w:tc>
        <w:tc>
          <w:tcPr>
            <w:tcW w:w="1134" w:type="dxa"/>
            <w:vAlign w:val="center"/>
            <w:hideMark/>
          </w:tcPr>
          <w:p w14:paraId="55D74CCF"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improving respiratory function, reduction of IL-1 and</w:t>
            </w:r>
            <w:r w:rsidRPr="00483D15">
              <w:rPr>
                <w:b/>
                <w:snapToGrid/>
                <w:sz w:val="14"/>
                <w:szCs w:val="14"/>
              </w:rPr>
              <w:br/>
              <w:t>TNF-a.</w:t>
            </w:r>
          </w:p>
        </w:tc>
      </w:tr>
      <w:tr w:rsidR="00DF2E2C" w:rsidRPr="00483D15" w14:paraId="41B1C24C" w14:textId="77777777" w:rsidTr="00B85C82">
        <w:trPr>
          <w:trHeight w:val="876"/>
          <w:jc w:val="center"/>
        </w:trPr>
        <w:tc>
          <w:tcPr>
            <w:cnfStyle w:val="001000000000" w:firstRow="0" w:lastRow="0" w:firstColumn="1" w:lastColumn="0" w:oddVBand="0" w:evenVBand="0" w:oddHBand="0" w:evenHBand="0" w:firstRowFirstColumn="0" w:firstRowLastColumn="0" w:lastRowFirstColumn="0" w:lastRowLastColumn="0"/>
            <w:tcW w:w="1002" w:type="dxa"/>
            <w:vAlign w:val="center"/>
            <w:hideMark/>
          </w:tcPr>
          <w:p w14:paraId="0B4D3427" w14:textId="6384FDAA" w:rsidR="00374825" w:rsidRPr="00483D15" w:rsidRDefault="00374825" w:rsidP="00483D15">
            <w:pPr>
              <w:pStyle w:val="MDPI42tablebody"/>
              <w:spacing w:line="240" w:lineRule="auto"/>
              <w:rPr>
                <w:b w:val="0"/>
                <w:snapToGrid/>
                <w:sz w:val="14"/>
                <w:szCs w:val="14"/>
              </w:rPr>
            </w:pPr>
            <w:r w:rsidRPr="00483D15">
              <w:rPr>
                <w:b w:val="0"/>
                <w:snapToGrid/>
                <w:sz w:val="14"/>
                <w:szCs w:val="14"/>
              </w:rPr>
              <w:lastRenderedPageBreak/>
              <w:t>Huang et al., 2021</w:t>
            </w:r>
            <w:r w:rsidR="00DF13FD" w:rsidRPr="00483D15">
              <w:rPr>
                <w:snapToGrid/>
                <w:sz w:val="14"/>
                <w:szCs w:val="14"/>
              </w:rPr>
              <w:fldChar w:fldCharType="begin"/>
            </w:r>
            <w:r w:rsidR="00F66A22">
              <w:rPr>
                <w:b w:val="0"/>
                <w:snapToGrid/>
                <w:sz w:val="14"/>
                <w:szCs w:val="14"/>
              </w:rPr>
              <w:instrText xml:space="preserve"> ADDIN ZOTERO_ITEM CSL_CITATION {"citationID":"hh2X5TZ4","properties":{"formattedCitation":"[77]","plainCitation":"[77]","noteIndex":0},"citationItems":[{"id":104,"uris":["http://zotero.org/users/local/L5HAWlIW/items/TX4ESU6G"],"itemData":{"id":104,"type":"article-journal","abstract":"The COVID-19 pandemic has caused multiple deaths worldwide. Since no specific therapies are currently available, treatment for critically ill patients with COVID-19 is supportive. The most severe patients need sustained life support for recovery. We herein describe the course of a critically ill COVID-19 patient with multi-organ failure, including acute respiratory failure, acute kidney injury, and fulminant cytokine release syndrome (CRS), who required mechanical ventilation and extracorporeal membrane oxygenation support. This patient with a predicted high mortality risk was successfully managed with a careful strategy of oxygenation, uremic toxin removal, hemodynamic support, and most importantly, cytokine-targeted intervention for CRS, including cytokine/endotoxin removal, anti-cytokine therapy, and immune modulation. Comprehensive cytokine data, CRS parameters, and biochemical data of extracorporeal removal were provided to strengthen the rationale of this strategy. In this report, we demonstrate that timely combined hemoperfusion with cytokine adsorptive capacity and anti-cytokine therapy can successfully treat COVID-19 patients with fulminant CRS. It also highlights the importance of implementing cytokine-targeted therapy for severe COVID-19 guided by the precise measurement of disease activity.","container-title":"Frontiers in Medicine","DOI":"10.3389/fmed.2021.649583","ISSN":"2296-858X","journalAbbreviation":"Front. Med.","page":"649583","source":"DOI.org (Crossref)","title":"Successful Treatment of a Critically Ill COVID-19 Patient Using Continuous Renal Replacement Therapy With Enhanced Cytokine Removal and Tocilizumab: A Case Report","title-short":"Successful Treatment of a Critically Ill COVID-19 Patient Using Continuous Renal Replacement Therapy With Enhanced Cytokine Removal and Tocilizumab","volume":"8","author":[{"family":"Huang","given":"Thomas Tao-Min"},{"family":"Chien","given":"Ying-Chun"},{"family":"Wang","given":"Chih-Hsien"},{"family":"Chang","given":"Sui-Yuan"},{"family":"Wang","given":"Jann-Tay"},{"family":"Hsieh","given":"Song-Chou"},{"family":"Yeh","given":"Yu-Chang"},{"family":"Ku","given":"Shih-Chi"},{"family":"Yu","given":"Chong-Jen"},{"family":"Chiang","given":"Bor-Luen"},{"family":"Chang","given":"Shan-Chwen"},{"family":"Tolwani","given":"Ashita"}],"issued":{"date-parts":[["2021",6,7]]}}}],"schema":"https://github.com/citation-style-language/schema/raw/master/csl-citation.json"} </w:instrText>
            </w:r>
            <w:r w:rsidR="00DF13FD" w:rsidRPr="00483D15">
              <w:rPr>
                <w:snapToGrid/>
                <w:sz w:val="14"/>
                <w:szCs w:val="14"/>
              </w:rPr>
              <w:fldChar w:fldCharType="separate"/>
            </w:r>
            <w:r w:rsidR="00F66A22" w:rsidRPr="00F66A22">
              <w:rPr>
                <w:sz w:val="14"/>
              </w:rPr>
              <w:t>[77]</w:t>
            </w:r>
            <w:r w:rsidR="00DF13FD" w:rsidRPr="00483D15">
              <w:rPr>
                <w:snapToGrid/>
                <w:sz w:val="14"/>
                <w:szCs w:val="14"/>
              </w:rPr>
              <w:fldChar w:fldCharType="end"/>
            </w:r>
          </w:p>
        </w:tc>
        <w:tc>
          <w:tcPr>
            <w:tcW w:w="1251" w:type="dxa"/>
            <w:vAlign w:val="center"/>
            <w:hideMark/>
          </w:tcPr>
          <w:p w14:paraId="2BD66B73"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ARDS, COVID-19</w:t>
            </w:r>
          </w:p>
        </w:tc>
        <w:tc>
          <w:tcPr>
            <w:tcW w:w="656" w:type="dxa"/>
            <w:vAlign w:val="center"/>
            <w:hideMark/>
          </w:tcPr>
          <w:p w14:paraId="5BE4E5DB"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1</w:t>
            </w:r>
          </w:p>
        </w:tc>
        <w:tc>
          <w:tcPr>
            <w:tcW w:w="637" w:type="dxa"/>
            <w:vAlign w:val="center"/>
            <w:hideMark/>
          </w:tcPr>
          <w:p w14:paraId="7752DC8B"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w:t>
            </w:r>
          </w:p>
        </w:tc>
        <w:tc>
          <w:tcPr>
            <w:tcW w:w="1088" w:type="dxa"/>
            <w:vAlign w:val="center"/>
            <w:hideMark/>
          </w:tcPr>
          <w:p w14:paraId="40E3C678"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case report</w:t>
            </w:r>
          </w:p>
        </w:tc>
        <w:tc>
          <w:tcPr>
            <w:tcW w:w="823" w:type="dxa"/>
            <w:vAlign w:val="center"/>
            <w:hideMark/>
          </w:tcPr>
          <w:p w14:paraId="7D41BABD"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proofErr w:type="spellStart"/>
            <w:r w:rsidRPr="00483D15">
              <w:rPr>
                <w:b/>
                <w:snapToGrid/>
                <w:sz w:val="14"/>
                <w:szCs w:val="14"/>
              </w:rPr>
              <w:t>oXiris</w:t>
            </w:r>
            <w:proofErr w:type="spellEnd"/>
          </w:p>
        </w:tc>
        <w:tc>
          <w:tcPr>
            <w:tcW w:w="963" w:type="dxa"/>
            <w:vAlign w:val="center"/>
            <w:hideMark/>
          </w:tcPr>
          <w:p w14:paraId="5DA5D9FF"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7</w:t>
            </w:r>
          </w:p>
        </w:tc>
        <w:tc>
          <w:tcPr>
            <w:tcW w:w="963" w:type="dxa"/>
            <w:vAlign w:val="center"/>
            <w:hideMark/>
          </w:tcPr>
          <w:p w14:paraId="3EA8F6DC"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each for 24 h</w:t>
            </w:r>
          </w:p>
        </w:tc>
        <w:tc>
          <w:tcPr>
            <w:tcW w:w="1134" w:type="dxa"/>
            <w:vAlign w:val="center"/>
            <w:hideMark/>
          </w:tcPr>
          <w:p w14:paraId="73132CFC"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reduced vasopressor requirements after HA, reduction in inflammatory markers (IL-6)</w:t>
            </w:r>
          </w:p>
        </w:tc>
      </w:tr>
      <w:tr w:rsidR="00DF2E2C" w:rsidRPr="00483D15" w14:paraId="720C4DB8" w14:textId="77777777" w:rsidTr="00B85C82">
        <w:trPr>
          <w:cnfStyle w:val="000000100000" w:firstRow="0" w:lastRow="0" w:firstColumn="0" w:lastColumn="0" w:oddVBand="0" w:evenVBand="0" w:oddHBand="1" w:evenHBand="0" w:firstRowFirstColumn="0" w:firstRowLastColumn="0" w:lastRowFirstColumn="0" w:lastRowLastColumn="0"/>
          <w:trHeight w:val="876"/>
          <w:jc w:val="center"/>
        </w:trPr>
        <w:tc>
          <w:tcPr>
            <w:cnfStyle w:val="001000000000" w:firstRow="0" w:lastRow="0" w:firstColumn="1" w:lastColumn="0" w:oddVBand="0" w:evenVBand="0" w:oddHBand="0" w:evenHBand="0" w:firstRowFirstColumn="0" w:firstRowLastColumn="0" w:lastRowFirstColumn="0" w:lastRowLastColumn="0"/>
            <w:tcW w:w="1002" w:type="dxa"/>
            <w:vAlign w:val="center"/>
            <w:hideMark/>
          </w:tcPr>
          <w:p w14:paraId="5B77B619" w14:textId="6680672D" w:rsidR="00374825" w:rsidRPr="00483D15" w:rsidRDefault="00374825" w:rsidP="00483D15">
            <w:pPr>
              <w:pStyle w:val="MDPI42tablebody"/>
              <w:spacing w:line="240" w:lineRule="auto"/>
              <w:rPr>
                <w:b w:val="0"/>
                <w:snapToGrid/>
                <w:sz w:val="14"/>
                <w:szCs w:val="14"/>
              </w:rPr>
            </w:pPr>
            <w:proofErr w:type="spellStart"/>
            <w:r w:rsidRPr="00483D15">
              <w:rPr>
                <w:b w:val="0"/>
                <w:snapToGrid/>
                <w:sz w:val="14"/>
                <w:szCs w:val="14"/>
              </w:rPr>
              <w:t>Kogelmann</w:t>
            </w:r>
            <w:proofErr w:type="spellEnd"/>
            <w:r w:rsidRPr="00483D15">
              <w:rPr>
                <w:b w:val="0"/>
                <w:snapToGrid/>
                <w:sz w:val="14"/>
                <w:szCs w:val="14"/>
              </w:rPr>
              <w:t xml:space="preserve"> et al., 2020</w:t>
            </w:r>
            <w:r w:rsidR="00DF13FD" w:rsidRPr="00483D15">
              <w:rPr>
                <w:snapToGrid/>
                <w:sz w:val="14"/>
                <w:szCs w:val="14"/>
              </w:rPr>
              <w:fldChar w:fldCharType="begin"/>
            </w:r>
            <w:r w:rsidR="00D6516F">
              <w:rPr>
                <w:b w:val="0"/>
                <w:snapToGrid/>
                <w:sz w:val="14"/>
                <w:szCs w:val="14"/>
              </w:rPr>
              <w:instrText xml:space="preserve"> ADDIN ZOTERO_ITEM CSL_CITATION {"citationID":"dDXY3In1","properties":{"formattedCitation":"[78]","plainCitation":"[78]","noteIndex":0},"citationItems":[{"id":106,"uris":["http://zotero.org/users/local/L5HAWlIW/items/P8UURMI3"],"itemData":{"id":106,"type":"article-journal","abstract":"Introduction\n              Acute respiratory distress syndrome in the context of severe sepsis and septic shock represents a serious clinical disorder. A recent case series in patients with septic shock and renal failure receiving hemoadsorption treatment showed rapid hemodynamic stabilization and increased survival, particularly in pneumonia patients and in those where therapy was started early. We hypothesized that patients suffering from pneumonia and refractory acute respiratory distress syndrome to the extent that they required extracorporeal membrane oxygenation support could possibly demonstrate the most pronounced benefit from the treatment.\n            \n            \n              Methods\n              We assessed the association of hemoadsorption treatment with hemodynamics, ventilation, and outcome variables in a set of patients with septic shock, acute respiratory distress syndrome, need for veno-venous extracorporeal membrane oxygenation, and continuous renal replacement therapy.\n            \n            \n              Results\n              Key observations include a significant stabilization in hemodynamics as evidenced by a marked decrease in catecholamine need, which was paralleled by a clear reduction in hyperlactatemia. Respiratory variables improved significantly. In addition, severity of illness and overall organ dysfunction showed a considerable decrease during the course of treatment. Observed mortality was approximately half as predicted by APACHE II. Treatment with CytoSorb was safe and well tolerated with no device-related adverse events.\n            \n            \n              Discussion\n              This is the first case series reporting on outcome variables associated to CytoSorb therapy in critically ill patients with septic shock, acute respiratory distress syndrome, veno-venous extracorporeal membrane oxygenation, and continuous renal replacement therapy. Based on our observations in this small case series, CytoSorb might represent a potentially promising therapy option for patients with refractory extracorporeal membrane oxygenation-dependent acute respiratory distress syndrome in the context of septic shock.","container-title":"Journal of the Intensive Care Society","DOI":"10.1177/1751143718818992","ISSN":"1751-1437","issue":"2","journalAbbreviation":"Journal of the Intensive Care Society","language":"en","page":"183-190","source":"DOI.org (Crossref)","title":"Use of hemoadsorption in sepsis-associated ECMO-dependent severe ARDS: A case series","title-short":"Use of hemoadsorption in sepsis-associated ECMO-dependent severe ARDS","volume":"21","author":[{"family":"Kogelmann","given":"Klaus"},{"family":"Scheller","given":"Morten"},{"family":"Drüner","given":"Matthias"},{"family":"Jarczak","given":"Dominik"}],"issued":{"date-parts":[["2020",5]]}}}],"schema":"https://github.com/citation-style-language/schema/raw/master/csl-citation.json"} </w:instrText>
            </w:r>
            <w:r w:rsidR="00DF13FD" w:rsidRPr="00483D15">
              <w:rPr>
                <w:snapToGrid/>
                <w:sz w:val="14"/>
                <w:szCs w:val="14"/>
              </w:rPr>
              <w:fldChar w:fldCharType="separate"/>
            </w:r>
            <w:r w:rsidR="00D6516F" w:rsidRPr="00D6516F">
              <w:rPr>
                <w:sz w:val="14"/>
              </w:rPr>
              <w:t>[78]</w:t>
            </w:r>
            <w:r w:rsidR="00DF13FD" w:rsidRPr="00483D15">
              <w:rPr>
                <w:snapToGrid/>
                <w:sz w:val="14"/>
                <w:szCs w:val="14"/>
              </w:rPr>
              <w:fldChar w:fldCharType="end"/>
            </w:r>
          </w:p>
        </w:tc>
        <w:tc>
          <w:tcPr>
            <w:tcW w:w="1251" w:type="dxa"/>
            <w:vAlign w:val="center"/>
            <w:hideMark/>
          </w:tcPr>
          <w:p w14:paraId="1A91CAC8"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ARDS</w:t>
            </w:r>
          </w:p>
        </w:tc>
        <w:tc>
          <w:tcPr>
            <w:tcW w:w="656" w:type="dxa"/>
            <w:vAlign w:val="center"/>
            <w:hideMark/>
          </w:tcPr>
          <w:p w14:paraId="661D0B22"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7</w:t>
            </w:r>
          </w:p>
        </w:tc>
        <w:tc>
          <w:tcPr>
            <w:tcW w:w="637" w:type="dxa"/>
            <w:vAlign w:val="center"/>
            <w:hideMark/>
          </w:tcPr>
          <w:p w14:paraId="03410533"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w:t>
            </w:r>
          </w:p>
        </w:tc>
        <w:tc>
          <w:tcPr>
            <w:tcW w:w="1088" w:type="dxa"/>
            <w:vAlign w:val="center"/>
            <w:hideMark/>
          </w:tcPr>
          <w:p w14:paraId="707133F1"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case series</w:t>
            </w:r>
          </w:p>
        </w:tc>
        <w:tc>
          <w:tcPr>
            <w:tcW w:w="823" w:type="dxa"/>
            <w:vAlign w:val="center"/>
            <w:hideMark/>
          </w:tcPr>
          <w:p w14:paraId="41E28A28"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proofErr w:type="spellStart"/>
            <w:r w:rsidRPr="00483D15">
              <w:rPr>
                <w:b/>
                <w:snapToGrid/>
                <w:sz w:val="14"/>
                <w:szCs w:val="14"/>
              </w:rPr>
              <w:t>CytoSorb</w:t>
            </w:r>
            <w:proofErr w:type="spellEnd"/>
          </w:p>
        </w:tc>
        <w:tc>
          <w:tcPr>
            <w:tcW w:w="963" w:type="dxa"/>
            <w:vAlign w:val="center"/>
            <w:hideMark/>
          </w:tcPr>
          <w:p w14:paraId="2ADAF6C6"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4</w:t>
            </w:r>
          </w:p>
        </w:tc>
        <w:tc>
          <w:tcPr>
            <w:tcW w:w="963" w:type="dxa"/>
            <w:vAlign w:val="center"/>
            <w:hideMark/>
          </w:tcPr>
          <w:p w14:paraId="2D39E665"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12 - 24 hours</w:t>
            </w:r>
          </w:p>
        </w:tc>
        <w:tc>
          <w:tcPr>
            <w:tcW w:w="1134" w:type="dxa"/>
            <w:vAlign w:val="center"/>
            <w:hideMark/>
          </w:tcPr>
          <w:p w14:paraId="214869B7"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improved P/F ratio, decrease in catecholamine</w:t>
            </w:r>
            <w:r w:rsidRPr="00483D15">
              <w:rPr>
                <w:b/>
                <w:snapToGrid/>
                <w:sz w:val="14"/>
                <w:szCs w:val="14"/>
              </w:rPr>
              <w:br/>
              <w:t>need,</w:t>
            </w:r>
          </w:p>
        </w:tc>
      </w:tr>
      <w:tr w:rsidR="00DF2E2C" w:rsidRPr="00483D15" w14:paraId="28D2F8C0" w14:textId="77777777" w:rsidTr="00B85C82">
        <w:trPr>
          <w:trHeight w:val="584"/>
          <w:jc w:val="center"/>
        </w:trPr>
        <w:tc>
          <w:tcPr>
            <w:cnfStyle w:val="001000000000" w:firstRow="0" w:lastRow="0" w:firstColumn="1" w:lastColumn="0" w:oddVBand="0" w:evenVBand="0" w:oddHBand="0" w:evenHBand="0" w:firstRowFirstColumn="0" w:firstRowLastColumn="0" w:lastRowFirstColumn="0" w:lastRowLastColumn="0"/>
            <w:tcW w:w="1002" w:type="dxa"/>
            <w:vAlign w:val="center"/>
            <w:hideMark/>
          </w:tcPr>
          <w:p w14:paraId="5D0E8D8B" w14:textId="685A560F" w:rsidR="00374825" w:rsidRPr="00483D15" w:rsidRDefault="00374825" w:rsidP="00483D15">
            <w:pPr>
              <w:pStyle w:val="MDPI42tablebody"/>
              <w:spacing w:line="240" w:lineRule="auto"/>
              <w:rPr>
                <w:b w:val="0"/>
                <w:snapToGrid/>
                <w:sz w:val="14"/>
                <w:szCs w:val="14"/>
              </w:rPr>
            </w:pPr>
            <w:r w:rsidRPr="00483D15">
              <w:rPr>
                <w:b w:val="0"/>
                <w:snapToGrid/>
                <w:sz w:val="14"/>
                <w:szCs w:val="14"/>
              </w:rPr>
              <w:t>Kovacevic et al., 2020</w:t>
            </w:r>
            <w:r w:rsidR="00660AFE" w:rsidRPr="00483D15">
              <w:rPr>
                <w:snapToGrid/>
                <w:sz w:val="14"/>
                <w:szCs w:val="14"/>
              </w:rPr>
              <w:fldChar w:fldCharType="begin"/>
            </w:r>
            <w:r w:rsidR="00EA3AE0">
              <w:rPr>
                <w:b w:val="0"/>
                <w:snapToGrid/>
                <w:sz w:val="14"/>
                <w:szCs w:val="14"/>
              </w:rPr>
              <w:instrText xml:space="preserve"> ADDIN ZOTERO_ITEM CSL_CITATION {"citationID":"DJeOa89Q","properties":{"formattedCitation":"[93]","plainCitation":"[93]","noteIndex":0},"citationItems":[{"id":108,"uris":["http://zotero.org/users/local/L5HAWlIW/items/2ZK33AUT"],"itemData":{"id":108,"type":"article-journal","abstract":"Acute respiratory distress syndrome is an acute inflammatory lung process, which leads to protein-rich nonhydrostatic pulmonary edema, refractory hypoxemia, and lung \"stiffness\". There are a number of therapies that are currently being investigated in the treatment of sepsis; one of the most promising treatment options at this moment is cytokine removal by hemoperfusion (CytoSorb®). We present the case of a 29-year-old male patient who was admitted to the Medical Intensive Care Unit in a state of multiple organ dysfunction and massive bilateral pneumonia caused by influenza type A. The patient was healthy before hospital admission. Due to acute respiratory failure and altered state of consciousness, the patient was intubated using analgosedation and connected to a controlled mechanical ventilation mode immediately after admission. The initial computed tomography scan showed massive bilateral pneumonia, and few days later, the patient's condition progressively worsened and he developed signs of multiorgan failure. Given the patient's progressing hemodynamic instability and uncontrolled inflammatory response, a CytoSorb® adsorber was added into the continuous renal replacement therapy circuit. The combination of pharmacotherapy, supportive measures, and application of CytoSorb® resulted with complete recovery of the patient (hemodynamic stability improved as evidenced by decreased vasopressor requirements).","container-title":"International Journal of Critical Illness and Injury Science","DOI":"10.4103/IJCIIS.IJCIIS_56_20","ISSN":"2229-5151","issue":"4","journalAbbreviation":"Int J Crit Illn Inj Sci","language":"eng","note":"PMID: 33850832\nPMCID: PMC8033202","page":"216-219","source":"PubMed","title":"Use of CytoSorb® as a therapeutic option in a critically ill patient with acute respiratory distress syndrome caused by influenza A (H1N1) pneumonia: A case report","title-short":"Use of CytoSorb® as a therapeutic option in a critically ill patient with acute respiratory distress syndrome caused by influenza A (H1N1) pneumonia","volume":"10","author":[{"family":"Kovacevic","given":"Pedja"},{"family":"Tomic","given":"Boris"},{"family":"Kovacevic","given":"Tijana"},{"family":"Dragic","given":"Sasa"}],"issued":{"date-parts":[["2020"]]}}}],"schema":"https://github.com/citation-style-language/schema/raw/master/csl-citation.json"} </w:instrText>
            </w:r>
            <w:r w:rsidR="00660AFE" w:rsidRPr="00483D15">
              <w:rPr>
                <w:snapToGrid/>
                <w:sz w:val="14"/>
                <w:szCs w:val="14"/>
              </w:rPr>
              <w:fldChar w:fldCharType="separate"/>
            </w:r>
            <w:r w:rsidR="00EA3AE0" w:rsidRPr="00EA3AE0">
              <w:rPr>
                <w:sz w:val="14"/>
              </w:rPr>
              <w:t>[93]</w:t>
            </w:r>
            <w:r w:rsidR="00660AFE" w:rsidRPr="00483D15">
              <w:rPr>
                <w:snapToGrid/>
                <w:sz w:val="14"/>
                <w:szCs w:val="14"/>
              </w:rPr>
              <w:fldChar w:fldCharType="end"/>
            </w:r>
          </w:p>
        </w:tc>
        <w:tc>
          <w:tcPr>
            <w:tcW w:w="1251" w:type="dxa"/>
            <w:vAlign w:val="center"/>
            <w:hideMark/>
          </w:tcPr>
          <w:p w14:paraId="1258F786"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ARDS, H1N1 influenza</w:t>
            </w:r>
          </w:p>
        </w:tc>
        <w:tc>
          <w:tcPr>
            <w:tcW w:w="656" w:type="dxa"/>
            <w:vAlign w:val="center"/>
            <w:hideMark/>
          </w:tcPr>
          <w:p w14:paraId="7A1C83FA"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1</w:t>
            </w:r>
          </w:p>
        </w:tc>
        <w:tc>
          <w:tcPr>
            <w:tcW w:w="637" w:type="dxa"/>
            <w:vAlign w:val="center"/>
            <w:hideMark/>
          </w:tcPr>
          <w:p w14:paraId="330005C8"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w:t>
            </w:r>
          </w:p>
        </w:tc>
        <w:tc>
          <w:tcPr>
            <w:tcW w:w="1088" w:type="dxa"/>
            <w:vAlign w:val="center"/>
            <w:hideMark/>
          </w:tcPr>
          <w:p w14:paraId="22EA9C28"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case report</w:t>
            </w:r>
          </w:p>
        </w:tc>
        <w:tc>
          <w:tcPr>
            <w:tcW w:w="823" w:type="dxa"/>
            <w:vAlign w:val="center"/>
            <w:hideMark/>
          </w:tcPr>
          <w:p w14:paraId="1D755D7C"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proofErr w:type="spellStart"/>
            <w:r w:rsidRPr="00483D15">
              <w:rPr>
                <w:b/>
                <w:snapToGrid/>
                <w:sz w:val="14"/>
                <w:szCs w:val="14"/>
              </w:rPr>
              <w:t>CytoSorb</w:t>
            </w:r>
            <w:proofErr w:type="spellEnd"/>
          </w:p>
        </w:tc>
        <w:tc>
          <w:tcPr>
            <w:tcW w:w="963" w:type="dxa"/>
            <w:vAlign w:val="center"/>
            <w:hideMark/>
          </w:tcPr>
          <w:p w14:paraId="3A90254E"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2</w:t>
            </w:r>
          </w:p>
        </w:tc>
        <w:tc>
          <w:tcPr>
            <w:tcW w:w="963" w:type="dxa"/>
            <w:vAlign w:val="center"/>
            <w:hideMark/>
          </w:tcPr>
          <w:p w14:paraId="46F3F136"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p>
        </w:tc>
        <w:tc>
          <w:tcPr>
            <w:tcW w:w="1134" w:type="dxa"/>
            <w:vAlign w:val="center"/>
            <w:hideMark/>
          </w:tcPr>
          <w:p w14:paraId="17797039"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decreased vasopressor requirements after HA</w:t>
            </w:r>
          </w:p>
        </w:tc>
      </w:tr>
      <w:tr w:rsidR="00DF2E2C" w:rsidRPr="00483D15" w14:paraId="470F32EA" w14:textId="77777777" w:rsidTr="00B85C82">
        <w:trPr>
          <w:cnfStyle w:val="000000100000" w:firstRow="0" w:lastRow="0" w:firstColumn="0" w:lastColumn="0" w:oddVBand="0" w:evenVBand="0" w:oddHBand="1" w:evenHBand="0" w:firstRowFirstColumn="0" w:firstRowLastColumn="0" w:lastRowFirstColumn="0" w:lastRowLastColumn="0"/>
          <w:trHeight w:val="584"/>
          <w:jc w:val="center"/>
        </w:trPr>
        <w:tc>
          <w:tcPr>
            <w:cnfStyle w:val="001000000000" w:firstRow="0" w:lastRow="0" w:firstColumn="1" w:lastColumn="0" w:oddVBand="0" w:evenVBand="0" w:oddHBand="0" w:evenHBand="0" w:firstRowFirstColumn="0" w:firstRowLastColumn="0" w:lastRowFirstColumn="0" w:lastRowLastColumn="0"/>
            <w:tcW w:w="1002" w:type="dxa"/>
            <w:vAlign w:val="center"/>
            <w:hideMark/>
          </w:tcPr>
          <w:p w14:paraId="409DA083" w14:textId="3E460873" w:rsidR="00374825" w:rsidRPr="00483D15" w:rsidRDefault="00374825" w:rsidP="00483D15">
            <w:pPr>
              <w:pStyle w:val="MDPI42tablebody"/>
              <w:spacing w:line="240" w:lineRule="auto"/>
              <w:rPr>
                <w:b w:val="0"/>
                <w:snapToGrid/>
                <w:sz w:val="14"/>
                <w:szCs w:val="14"/>
              </w:rPr>
            </w:pPr>
            <w:r w:rsidRPr="00483D15">
              <w:rPr>
                <w:b w:val="0"/>
                <w:snapToGrid/>
                <w:sz w:val="14"/>
                <w:szCs w:val="14"/>
              </w:rPr>
              <w:t>La Camera et al., 2019</w:t>
            </w:r>
            <w:r w:rsidR="00660AFE" w:rsidRPr="00483D15">
              <w:rPr>
                <w:snapToGrid/>
                <w:sz w:val="14"/>
                <w:szCs w:val="14"/>
              </w:rPr>
              <w:fldChar w:fldCharType="begin"/>
            </w:r>
            <w:r w:rsidR="00E7338E">
              <w:rPr>
                <w:b w:val="0"/>
                <w:snapToGrid/>
                <w:sz w:val="14"/>
                <w:szCs w:val="14"/>
              </w:rPr>
              <w:instrText xml:space="preserve"> ADDIN ZOTERO_ITEM CSL_CITATION {"citationID":"nu4eUQ5B","properties":{"formattedCitation":"[79]","plainCitation":"[79]","noteIndex":0},"citationItems":[{"id":103,"uris":["http://zotero.org/users/local/L5HAWlIW/items/BBLZGS4P"],"itemData":{"id":103,"type":"article-journal","abstract":"Introduction: Sepsis and septic shock are severe disorders, often with a high rate of mortality. In these conditions, hemadsorption devices can be important adjuvants to support conventional therapy. Case presentation: In this work, we describe the case of a critical patient with severe comorbidities and suffering from septic shock caused by multiresistant Klebsiella pneumonia. Conclusion: In this case, such device helped in weaning the patient from vasopressors, stabilizing the haemodynamic, and in reducing circulating proinflammatory cytokines levels, leading to an early discharge. rocess and EBV/CMV infection.","container-title":"Acta Medica Mediterranea","DOI":"10.19193/0393-6384_2019_5_397","ISSN":"0393-6384","issue":"5","language":"eng","page":"2533-2535","source":"DOI.org (CSL JSON)","title":"USE OF CYTOSORB IN A CARDIOPATHIC PATIENT SUFFERING FROM SEPTIC SHOCK, MULTIPLE ORGAN FAILURE AND ACUTE RESPIRATORY DISTRESS SYNDROME. THE CASE OF A CENTER IN CATANIA (ITALY)","author":[{"family":"LA CAMERA","given":"GIUSEPPA"}],"issued":{"date-parts":[["2019",0,29]]}}}],"schema":"https://github.com/citation-style-language/schema/raw/master/csl-citation.json"} </w:instrText>
            </w:r>
            <w:r w:rsidR="00660AFE" w:rsidRPr="00483D15">
              <w:rPr>
                <w:snapToGrid/>
                <w:sz w:val="14"/>
                <w:szCs w:val="14"/>
              </w:rPr>
              <w:fldChar w:fldCharType="separate"/>
            </w:r>
            <w:r w:rsidR="00E7338E" w:rsidRPr="00E7338E">
              <w:rPr>
                <w:sz w:val="14"/>
              </w:rPr>
              <w:t>[79]</w:t>
            </w:r>
            <w:r w:rsidR="00660AFE" w:rsidRPr="00483D15">
              <w:rPr>
                <w:snapToGrid/>
                <w:sz w:val="14"/>
                <w:szCs w:val="14"/>
              </w:rPr>
              <w:fldChar w:fldCharType="end"/>
            </w:r>
          </w:p>
        </w:tc>
        <w:tc>
          <w:tcPr>
            <w:tcW w:w="1251" w:type="dxa"/>
            <w:vAlign w:val="center"/>
            <w:hideMark/>
          </w:tcPr>
          <w:p w14:paraId="7A23955B"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ARDS, postoperative patient, pneumonia</w:t>
            </w:r>
          </w:p>
        </w:tc>
        <w:tc>
          <w:tcPr>
            <w:tcW w:w="656" w:type="dxa"/>
            <w:vAlign w:val="center"/>
            <w:hideMark/>
          </w:tcPr>
          <w:p w14:paraId="4225C71C"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1</w:t>
            </w:r>
          </w:p>
        </w:tc>
        <w:tc>
          <w:tcPr>
            <w:tcW w:w="637" w:type="dxa"/>
            <w:vAlign w:val="center"/>
            <w:hideMark/>
          </w:tcPr>
          <w:p w14:paraId="3E544B2C"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w:t>
            </w:r>
          </w:p>
        </w:tc>
        <w:tc>
          <w:tcPr>
            <w:tcW w:w="1088" w:type="dxa"/>
            <w:vAlign w:val="center"/>
            <w:hideMark/>
          </w:tcPr>
          <w:p w14:paraId="42D4B432"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case report</w:t>
            </w:r>
          </w:p>
        </w:tc>
        <w:tc>
          <w:tcPr>
            <w:tcW w:w="823" w:type="dxa"/>
            <w:vAlign w:val="center"/>
            <w:hideMark/>
          </w:tcPr>
          <w:p w14:paraId="7511BA80"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proofErr w:type="spellStart"/>
            <w:r w:rsidRPr="00483D15">
              <w:rPr>
                <w:b/>
                <w:snapToGrid/>
                <w:sz w:val="14"/>
                <w:szCs w:val="14"/>
              </w:rPr>
              <w:t>CytoSorb</w:t>
            </w:r>
            <w:proofErr w:type="spellEnd"/>
          </w:p>
        </w:tc>
        <w:tc>
          <w:tcPr>
            <w:tcW w:w="963" w:type="dxa"/>
            <w:vAlign w:val="center"/>
            <w:hideMark/>
          </w:tcPr>
          <w:p w14:paraId="442CC69F"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2</w:t>
            </w:r>
          </w:p>
        </w:tc>
        <w:tc>
          <w:tcPr>
            <w:tcW w:w="963" w:type="dxa"/>
            <w:vAlign w:val="center"/>
            <w:hideMark/>
          </w:tcPr>
          <w:p w14:paraId="04CCA100"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w:t>
            </w:r>
          </w:p>
        </w:tc>
        <w:tc>
          <w:tcPr>
            <w:tcW w:w="1134" w:type="dxa"/>
            <w:vAlign w:val="center"/>
            <w:hideMark/>
          </w:tcPr>
          <w:p w14:paraId="39492B4E"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reduced NA requirement,</w:t>
            </w:r>
          </w:p>
        </w:tc>
      </w:tr>
      <w:tr w:rsidR="00DF2E2C" w:rsidRPr="00483D15" w14:paraId="6531E89A" w14:textId="77777777" w:rsidTr="00B85C82">
        <w:trPr>
          <w:trHeight w:val="584"/>
          <w:jc w:val="center"/>
        </w:trPr>
        <w:tc>
          <w:tcPr>
            <w:cnfStyle w:val="001000000000" w:firstRow="0" w:lastRow="0" w:firstColumn="1" w:lastColumn="0" w:oddVBand="0" w:evenVBand="0" w:oddHBand="0" w:evenHBand="0" w:firstRowFirstColumn="0" w:firstRowLastColumn="0" w:lastRowFirstColumn="0" w:lastRowLastColumn="0"/>
            <w:tcW w:w="1002" w:type="dxa"/>
            <w:vAlign w:val="center"/>
            <w:hideMark/>
          </w:tcPr>
          <w:p w14:paraId="2D212435" w14:textId="471BE3F7" w:rsidR="00374825" w:rsidRPr="00483D15" w:rsidRDefault="00374825" w:rsidP="00483D15">
            <w:pPr>
              <w:pStyle w:val="MDPI42tablebody"/>
              <w:spacing w:line="240" w:lineRule="auto"/>
              <w:rPr>
                <w:b w:val="0"/>
                <w:snapToGrid/>
                <w:sz w:val="14"/>
                <w:szCs w:val="14"/>
              </w:rPr>
            </w:pPr>
            <w:r w:rsidRPr="00483D15">
              <w:rPr>
                <w:b w:val="0"/>
                <w:snapToGrid/>
                <w:sz w:val="14"/>
                <w:szCs w:val="14"/>
              </w:rPr>
              <w:t>Lees et al., 2016</w:t>
            </w:r>
            <w:r w:rsidR="00660AFE" w:rsidRPr="00483D15">
              <w:rPr>
                <w:snapToGrid/>
                <w:sz w:val="14"/>
                <w:szCs w:val="14"/>
              </w:rPr>
              <w:fldChar w:fldCharType="begin"/>
            </w:r>
            <w:r w:rsidR="007A0394">
              <w:rPr>
                <w:b w:val="0"/>
                <w:snapToGrid/>
                <w:sz w:val="14"/>
                <w:szCs w:val="14"/>
              </w:rPr>
              <w:instrText xml:space="preserve"> ADDIN ZOTERO_ITEM CSL_CITATION {"citationID":"Ruz0lfAZ","properties":{"formattedCitation":"[80]","plainCitation":"[80]","noteIndex":0},"citationItems":[{"id":110,"uris":["http://zotero.org/users/local/L5HAWlIW/items/IN9JR7RT"],"itemData":{"id":110,"type":"article-journal","container-title":"Journal of Artificial Organs","DOI":"10.1007/s10047-016-0915-8","ISSN":"1434-7229, 1619-0904","issue":"4","journalAbbreviation":"J Artif Organs","language":"en","page":"399-402","source":"DOI.org (Crossref)","title":"Combination of ECMO and cytokine adsorption therapy for severe sepsis with cardiogenic shock and ARDS due to Panton–Valentine leukocidin—positive Staphylococcus aureus pneumonia and H1N1","volume":"19","author":[{"family":"Lees","given":"Nj"},{"family":"Rosenberg","given":"Ajp"},{"family":"Hurtado-Doce","given":"Ai"},{"family":"Jones","given":"J"},{"family":"Marczin","given":"N"},{"family":"Zeriouh","given":"M"},{"family":"Weymann","given":"A"},{"family":"Sabashnikov","given":"A"},{"family":"Simon","given":"Ar"},{"family":"Popov","given":"Af"}],"issued":{"date-parts":[["2016",12]]}}}],"schema":"https://github.com/citation-style-language/schema/raw/master/csl-citation.json"} </w:instrText>
            </w:r>
            <w:r w:rsidR="00660AFE" w:rsidRPr="00483D15">
              <w:rPr>
                <w:snapToGrid/>
                <w:sz w:val="14"/>
                <w:szCs w:val="14"/>
              </w:rPr>
              <w:fldChar w:fldCharType="separate"/>
            </w:r>
            <w:r w:rsidR="007A0394" w:rsidRPr="007A0394">
              <w:rPr>
                <w:sz w:val="14"/>
              </w:rPr>
              <w:t>[80]</w:t>
            </w:r>
            <w:r w:rsidR="00660AFE" w:rsidRPr="00483D15">
              <w:rPr>
                <w:snapToGrid/>
                <w:sz w:val="14"/>
                <w:szCs w:val="14"/>
              </w:rPr>
              <w:fldChar w:fldCharType="end"/>
            </w:r>
          </w:p>
        </w:tc>
        <w:tc>
          <w:tcPr>
            <w:tcW w:w="1251" w:type="dxa"/>
            <w:vAlign w:val="center"/>
            <w:hideMark/>
          </w:tcPr>
          <w:p w14:paraId="6B76DFFD"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 xml:space="preserve">ARDS, PLV+ </w:t>
            </w:r>
            <w:proofErr w:type="spellStart"/>
            <w:proofErr w:type="gramStart"/>
            <w:r w:rsidRPr="00483D15">
              <w:rPr>
                <w:b/>
                <w:snapToGrid/>
                <w:sz w:val="14"/>
                <w:szCs w:val="14"/>
              </w:rPr>
              <w:t>S.aureus</w:t>
            </w:r>
            <w:proofErr w:type="spellEnd"/>
            <w:proofErr w:type="gramEnd"/>
            <w:r w:rsidRPr="00483D15">
              <w:rPr>
                <w:b/>
                <w:snapToGrid/>
                <w:sz w:val="14"/>
                <w:szCs w:val="14"/>
              </w:rPr>
              <w:t xml:space="preserve"> pneumonia</w:t>
            </w:r>
          </w:p>
        </w:tc>
        <w:tc>
          <w:tcPr>
            <w:tcW w:w="656" w:type="dxa"/>
            <w:vAlign w:val="center"/>
            <w:hideMark/>
          </w:tcPr>
          <w:p w14:paraId="4A7BEBD7"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1</w:t>
            </w:r>
          </w:p>
        </w:tc>
        <w:tc>
          <w:tcPr>
            <w:tcW w:w="637" w:type="dxa"/>
            <w:vAlign w:val="center"/>
            <w:hideMark/>
          </w:tcPr>
          <w:p w14:paraId="0F13658F"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w:t>
            </w:r>
          </w:p>
        </w:tc>
        <w:tc>
          <w:tcPr>
            <w:tcW w:w="1088" w:type="dxa"/>
            <w:vAlign w:val="center"/>
            <w:hideMark/>
          </w:tcPr>
          <w:p w14:paraId="762BD93E"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case report</w:t>
            </w:r>
          </w:p>
        </w:tc>
        <w:tc>
          <w:tcPr>
            <w:tcW w:w="823" w:type="dxa"/>
            <w:vAlign w:val="center"/>
            <w:hideMark/>
          </w:tcPr>
          <w:p w14:paraId="0B3A0581"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proofErr w:type="spellStart"/>
            <w:r w:rsidRPr="00483D15">
              <w:rPr>
                <w:b/>
                <w:snapToGrid/>
                <w:sz w:val="14"/>
                <w:szCs w:val="14"/>
              </w:rPr>
              <w:t>CytoSorb</w:t>
            </w:r>
            <w:proofErr w:type="spellEnd"/>
          </w:p>
        </w:tc>
        <w:tc>
          <w:tcPr>
            <w:tcW w:w="963" w:type="dxa"/>
            <w:vAlign w:val="center"/>
            <w:hideMark/>
          </w:tcPr>
          <w:p w14:paraId="4BF1E195"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1</w:t>
            </w:r>
          </w:p>
        </w:tc>
        <w:tc>
          <w:tcPr>
            <w:tcW w:w="963" w:type="dxa"/>
            <w:vAlign w:val="center"/>
            <w:hideMark/>
          </w:tcPr>
          <w:p w14:paraId="1967E20E"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24h</w:t>
            </w:r>
          </w:p>
        </w:tc>
        <w:tc>
          <w:tcPr>
            <w:tcW w:w="1134" w:type="dxa"/>
            <w:vAlign w:val="center"/>
            <w:hideMark/>
          </w:tcPr>
          <w:p w14:paraId="4157ED28"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improved oxygenation, decrease vasopressin and NA requirement</w:t>
            </w:r>
          </w:p>
        </w:tc>
      </w:tr>
      <w:tr w:rsidR="00DF2E2C" w:rsidRPr="00483D15" w14:paraId="03733421" w14:textId="77777777" w:rsidTr="00B85C82">
        <w:trPr>
          <w:cnfStyle w:val="000000100000" w:firstRow="0" w:lastRow="0" w:firstColumn="0" w:lastColumn="0" w:oddVBand="0" w:evenVBand="0" w:oddHBand="1" w:evenHBand="0" w:firstRowFirstColumn="0" w:firstRowLastColumn="0" w:lastRowFirstColumn="0" w:lastRowLastColumn="0"/>
          <w:trHeight w:val="876"/>
          <w:jc w:val="center"/>
        </w:trPr>
        <w:tc>
          <w:tcPr>
            <w:cnfStyle w:val="001000000000" w:firstRow="0" w:lastRow="0" w:firstColumn="1" w:lastColumn="0" w:oddVBand="0" w:evenVBand="0" w:oddHBand="0" w:evenHBand="0" w:firstRowFirstColumn="0" w:firstRowLastColumn="0" w:lastRowFirstColumn="0" w:lastRowLastColumn="0"/>
            <w:tcW w:w="1002" w:type="dxa"/>
            <w:vAlign w:val="center"/>
            <w:hideMark/>
          </w:tcPr>
          <w:p w14:paraId="46B54A51" w14:textId="14135EB3" w:rsidR="00374825" w:rsidRPr="00483D15" w:rsidRDefault="00374825" w:rsidP="00483D15">
            <w:pPr>
              <w:pStyle w:val="MDPI42tablebody"/>
              <w:spacing w:line="240" w:lineRule="auto"/>
              <w:rPr>
                <w:b w:val="0"/>
                <w:snapToGrid/>
                <w:sz w:val="14"/>
                <w:szCs w:val="14"/>
              </w:rPr>
            </w:pPr>
            <w:r w:rsidRPr="00483D15">
              <w:rPr>
                <w:b w:val="0"/>
                <w:snapToGrid/>
                <w:sz w:val="14"/>
                <w:szCs w:val="14"/>
              </w:rPr>
              <w:t>Lother et al., 2019</w:t>
            </w:r>
            <w:r w:rsidR="00660AFE" w:rsidRPr="00483D15">
              <w:rPr>
                <w:snapToGrid/>
                <w:sz w:val="14"/>
                <w:szCs w:val="14"/>
              </w:rPr>
              <w:fldChar w:fldCharType="begin"/>
            </w:r>
            <w:r w:rsidR="001D2FFD">
              <w:rPr>
                <w:b w:val="0"/>
                <w:snapToGrid/>
                <w:sz w:val="14"/>
                <w:szCs w:val="14"/>
              </w:rPr>
              <w:instrText xml:space="preserve"> ADDIN ZOTERO_ITEM CSL_CITATION {"citationID":"6fjwcnzn","properties":{"formattedCitation":"[81]","plainCitation":"[81]","noteIndex":0},"citationItems":[{"id":111,"uris":["http://zotero.org/users/local/L5HAWlIW/items/Z6X7SHRZ"],"itemData":{"id":111,"type":"article-journal","container-title":"Frontiers in Cardiovascular Medicine","DOI":"10.3389/fcvm.2019.00071","ISSN":"2297-055X","journalAbbreviation":"Front. Cardiovasc. Med.","page":"71","source":"DOI.org (Crossref)","title":"Cytokine Adsorption in Critically Ill Patients Requiring ECMO Support","volume":"6","author":[{"family":"Lother","given":"Achim"},{"family":"Benk","given":"Christoph"},{"family":"Staudacher","given":"Dawid L."},{"family":"Supady","given":"Alexander"},{"family":"Bode","given":"Christoph"},{"family":"Wengenmayer","given":"Tobias"},{"family":"Duerschmied","given":"Daniel"}],"issued":{"date-parts":[["2019",6,4]]}}}],"schema":"https://github.com/citation-style-language/schema/raw/master/csl-citation.json"} </w:instrText>
            </w:r>
            <w:r w:rsidR="00660AFE" w:rsidRPr="00483D15">
              <w:rPr>
                <w:snapToGrid/>
                <w:sz w:val="14"/>
                <w:szCs w:val="14"/>
              </w:rPr>
              <w:fldChar w:fldCharType="separate"/>
            </w:r>
            <w:r w:rsidR="001D2FFD" w:rsidRPr="001D2FFD">
              <w:rPr>
                <w:sz w:val="14"/>
              </w:rPr>
              <w:t>[81]</w:t>
            </w:r>
            <w:r w:rsidR="00660AFE" w:rsidRPr="00483D15">
              <w:rPr>
                <w:snapToGrid/>
                <w:sz w:val="14"/>
                <w:szCs w:val="14"/>
              </w:rPr>
              <w:fldChar w:fldCharType="end"/>
            </w:r>
          </w:p>
        </w:tc>
        <w:tc>
          <w:tcPr>
            <w:tcW w:w="1251" w:type="dxa"/>
            <w:vAlign w:val="center"/>
            <w:hideMark/>
          </w:tcPr>
          <w:p w14:paraId="33F0CE42"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ARDS, septic shock</w:t>
            </w:r>
          </w:p>
        </w:tc>
        <w:tc>
          <w:tcPr>
            <w:tcW w:w="656" w:type="dxa"/>
            <w:vAlign w:val="center"/>
            <w:hideMark/>
          </w:tcPr>
          <w:p w14:paraId="382582BC"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3</w:t>
            </w:r>
          </w:p>
        </w:tc>
        <w:tc>
          <w:tcPr>
            <w:tcW w:w="637" w:type="dxa"/>
            <w:vAlign w:val="center"/>
            <w:hideMark/>
          </w:tcPr>
          <w:p w14:paraId="12152816"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w:t>
            </w:r>
          </w:p>
        </w:tc>
        <w:tc>
          <w:tcPr>
            <w:tcW w:w="1088" w:type="dxa"/>
            <w:vAlign w:val="center"/>
            <w:hideMark/>
          </w:tcPr>
          <w:p w14:paraId="50AF99E6"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case series</w:t>
            </w:r>
          </w:p>
        </w:tc>
        <w:tc>
          <w:tcPr>
            <w:tcW w:w="823" w:type="dxa"/>
            <w:vAlign w:val="center"/>
            <w:hideMark/>
          </w:tcPr>
          <w:p w14:paraId="7BAFF873"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proofErr w:type="spellStart"/>
            <w:r w:rsidRPr="00483D15">
              <w:rPr>
                <w:b/>
                <w:snapToGrid/>
                <w:sz w:val="14"/>
                <w:szCs w:val="14"/>
              </w:rPr>
              <w:t>CytoSorb</w:t>
            </w:r>
            <w:proofErr w:type="spellEnd"/>
          </w:p>
        </w:tc>
        <w:tc>
          <w:tcPr>
            <w:tcW w:w="963" w:type="dxa"/>
            <w:vAlign w:val="center"/>
            <w:hideMark/>
          </w:tcPr>
          <w:p w14:paraId="28DB4333"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mean 1,3 median 1 [1-3]</w:t>
            </w:r>
          </w:p>
        </w:tc>
        <w:tc>
          <w:tcPr>
            <w:tcW w:w="963" w:type="dxa"/>
            <w:vAlign w:val="center"/>
            <w:hideMark/>
          </w:tcPr>
          <w:p w14:paraId="7EADB2E5"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38.4, 12 and   13.5 h</w:t>
            </w:r>
          </w:p>
        </w:tc>
        <w:tc>
          <w:tcPr>
            <w:tcW w:w="1134" w:type="dxa"/>
            <w:vAlign w:val="center"/>
            <w:hideMark/>
          </w:tcPr>
          <w:p w14:paraId="68B5044F"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reduction in PLT count, no evidence of altered plasmatic coagulation, 67% mortality</w:t>
            </w:r>
          </w:p>
        </w:tc>
      </w:tr>
      <w:tr w:rsidR="00DF2E2C" w:rsidRPr="00483D15" w14:paraId="15E51B03" w14:textId="77777777" w:rsidTr="00B85C82">
        <w:trPr>
          <w:trHeight w:val="1168"/>
          <w:jc w:val="center"/>
        </w:trPr>
        <w:tc>
          <w:tcPr>
            <w:cnfStyle w:val="001000000000" w:firstRow="0" w:lastRow="0" w:firstColumn="1" w:lastColumn="0" w:oddVBand="0" w:evenVBand="0" w:oddHBand="0" w:evenHBand="0" w:firstRowFirstColumn="0" w:firstRowLastColumn="0" w:lastRowFirstColumn="0" w:lastRowLastColumn="0"/>
            <w:tcW w:w="1002" w:type="dxa"/>
            <w:vAlign w:val="center"/>
            <w:hideMark/>
          </w:tcPr>
          <w:p w14:paraId="75A378E7" w14:textId="1A106633" w:rsidR="00374825" w:rsidRPr="00483D15" w:rsidRDefault="00374825" w:rsidP="00483D15">
            <w:pPr>
              <w:pStyle w:val="MDPI42tablebody"/>
              <w:spacing w:line="240" w:lineRule="auto"/>
              <w:rPr>
                <w:b w:val="0"/>
                <w:snapToGrid/>
                <w:sz w:val="14"/>
                <w:szCs w:val="14"/>
              </w:rPr>
            </w:pPr>
            <w:r w:rsidRPr="00483D15">
              <w:rPr>
                <w:b w:val="0"/>
                <w:snapToGrid/>
                <w:sz w:val="14"/>
                <w:szCs w:val="14"/>
              </w:rPr>
              <w:t>Nassiri et al., 2021</w:t>
            </w:r>
            <w:r w:rsidR="00660AFE" w:rsidRPr="00483D15">
              <w:rPr>
                <w:snapToGrid/>
                <w:sz w:val="14"/>
                <w:szCs w:val="14"/>
              </w:rPr>
              <w:fldChar w:fldCharType="begin"/>
            </w:r>
            <w:r w:rsidR="007309E1">
              <w:rPr>
                <w:b w:val="0"/>
                <w:snapToGrid/>
                <w:sz w:val="14"/>
                <w:szCs w:val="14"/>
              </w:rPr>
              <w:instrText xml:space="preserve"> ADDIN ZOTERO_ITEM CSL_CITATION {"citationID":"t5I1PjNR","properties":{"formattedCitation":"[82]","plainCitation":"[82]","noteIndex":0},"citationItems":[{"id":113,"uris":["http://zotero.org/users/local/L5HAWlIW/items/PY5YV5F5"],"itemData":{"id":113,"type":"article-journal","container-title":"Artificial Organs","DOI":"10.1111/aor.14024","ISSN":"0160-564X, 1525-1594","issue":"11","journalAbbreviation":"Artificial Organs","language":"en","page":"1338-1347","source":"DOI.org (Crossref)","title":"Blood purification with CytoSorb in critically ill COVID‐19 patients: A case series of 26 patients","title-short":"Blood purification with CytoSorb in critically ill COVID‐19 patients","volume":"45","author":[{"family":"Nassiri","given":"Amir Ahmad"},{"family":"Hakemi","given":"Monir Sadat"},{"family":"Miri","given":"Mir Mohammad"},{"family":"Shahrami","given":"Reza"},{"family":"Koomleh","given":"Azadeh Ahmadi"},{"family":"Sabaghian","given":"Tahereh"}],"issued":{"date-parts":[["2021",11]]}}}],"schema":"https://github.com/citation-style-language/schema/raw/master/csl-citation.json"} </w:instrText>
            </w:r>
            <w:r w:rsidR="00660AFE" w:rsidRPr="00483D15">
              <w:rPr>
                <w:snapToGrid/>
                <w:sz w:val="14"/>
                <w:szCs w:val="14"/>
              </w:rPr>
              <w:fldChar w:fldCharType="separate"/>
            </w:r>
            <w:r w:rsidR="007309E1" w:rsidRPr="007309E1">
              <w:rPr>
                <w:sz w:val="14"/>
              </w:rPr>
              <w:t>[82]</w:t>
            </w:r>
            <w:r w:rsidR="00660AFE" w:rsidRPr="00483D15">
              <w:rPr>
                <w:snapToGrid/>
                <w:sz w:val="14"/>
                <w:szCs w:val="14"/>
              </w:rPr>
              <w:fldChar w:fldCharType="end"/>
            </w:r>
          </w:p>
        </w:tc>
        <w:tc>
          <w:tcPr>
            <w:tcW w:w="1251" w:type="dxa"/>
            <w:vAlign w:val="center"/>
            <w:hideMark/>
          </w:tcPr>
          <w:p w14:paraId="1B62287C"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ARDS, COVID-19</w:t>
            </w:r>
          </w:p>
        </w:tc>
        <w:tc>
          <w:tcPr>
            <w:tcW w:w="656" w:type="dxa"/>
            <w:vAlign w:val="center"/>
            <w:hideMark/>
          </w:tcPr>
          <w:p w14:paraId="1FB7EC8C"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26</w:t>
            </w:r>
          </w:p>
        </w:tc>
        <w:tc>
          <w:tcPr>
            <w:tcW w:w="637" w:type="dxa"/>
            <w:vAlign w:val="center"/>
            <w:hideMark/>
          </w:tcPr>
          <w:p w14:paraId="6DFA85FB"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w:t>
            </w:r>
          </w:p>
        </w:tc>
        <w:tc>
          <w:tcPr>
            <w:tcW w:w="1088" w:type="dxa"/>
            <w:vAlign w:val="center"/>
            <w:hideMark/>
          </w:tcPr>
          <w:p w14:paraId="3EF2E731"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case series</w:t>
            </w:r>
          </w:p>
        </w:tc>
        <w:tc>
          <w:tcPr>
            <w:tcW w:w="823" w:type="dxa"/>
            <w:vAlign w:val="center"/>
            <w:hideMark/>
          </w:tcPr>
          <w:p w14:paraId="079C2A21"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proofErr w:type="spellStart"/>
            <w:r w:rsidRPr="00483D15">
              <w:rPr>
                <w:b/>
                <w:snapToGrid/>
                <w:sz w:val="14"/>
                <w:szCs w:val="14"/>
              </w:rPr>
              <w:t>CytoSorb</w:t>
            </w:r>
            <w:proofErr w:type="spellEnd"/>
          </w:p>
        </w:tc>
        <w:tc>
          <w:tcPr>
            <w:tcW w:w="963" w:type="dxa"/>
            <w:vAlign w:val="center"/>
            <w:hideMark/>
          </w:tcPr>
          <w:p w14:paraId="0D08F9FA"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mean 2, median of 2 [1-3]</w:t>
            </w:r>
          </w:p>
        </w:tc>
        <w:tc>
          <w:tcPr>
            <w:tcW w:w="963" w:type="dxa"/>
            <w:vAlign w:val="center"/>
            <w:hideMark/>
          </w:tcPr>
          <w:p w14:paraId="2C6A91F6"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median 35 IQR [18-48]</w:t>
            </w:r>
          </w:p>
        </w:tc>
        <w:tc>
          <w:tcPr>
            <w:tcW w:w="1134" w:type="dxa"/>
            <w:vAlign w:val="center"/>
            <w:hideMark/>
          </w:tcPr>
          <w:p w14:paraId="0F6E4F4E"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significant reduction in inflammatory markers, reduction of NA requirement, improved P/F ratio and SOFA score</w:t>
            </w:r>
          </w:p>
        </w:tc>
      </w:tr>
      <w:tr w:rsidR="00DF2E2C" w:rsidRPr="00483D15" w14:paraId="1AFF6E71" w14:textId="77777777" w:rsidTr="00B85C82">
        <w:trPr>
          <w:cnfStyle w:val="000000100000" w:firstRow="0" w:lastRow="0" w:firstColumn="0" w:lastColumn="0" w:oddVBand="0" w:evenVBand="0" w:oddHBand="1" w:evenHBand="0" w:firstRowFirstColumn="0" w:firstRowLastColumn="0" w:lastRowFirstColumn="0" w:lastRowLastColumn="0"/>
          <w:trHeight w:val="832"/>
          <w:jc w:val="center"/>
        </w:trPr>
        <w:tc>
          <w:tcPr>
            <w:cnfStyle w:val="001000000000" w:firstRow="0" w:lastRow="0" w:firstColumn="1" w:lastColumn="0" w:oddVBand="0" w:evenVBand="0" w:oddHBand="0" w:evenHBand="0" w:firstRowFirstColumn="0" w:firstRowLastColumn="0" w:lastRowFirstColumn="0" w:lastRowLastColumn="0"/>
            <w:tcW w:w="1002" w:type="dxa"/>
            <w:vAlign w:val="center"/>
            <w:hideMark/>
          </w:tcPr>
          <w:p w14:paraId="1149F3FF" w14:textId="20D5292F" w:rsidR="00374825" w:rsidRPr="00483D15" w:rsidRDefault="00374825" w:rsidP="00483D15">
            <w:pPr>
              <w:pStyle w:val="MDPI42tablebody"/>
              <w:spacing w:line="240" w:lineRule="auto"/>
              <w:rPr>
                <w:b w:val="0"/>
                <w:snapToGrid/>
                <w:sz w:val="14"/>
                <w:szCs w:val="14"/>
              </w:rPr>
            </w:pPr>
            <w:r w:rsidRPr="00483D15">
              <w:rPr>
                <w:b w:val="0"/>
                <w:snapToGrid/>
                <w:sz w:val="14"/>
                <w:szCs w:val="14"/>
              </w:rPr>
              <w:t>Pieri et al., 2022</w:t>
            </w:r>
            <w:r w:rsidR="00660AFE" w:rsidRPr="00483D15">
              <w:rPr>
                <w:snapToGrid/>
                <w:sz w:val="14"/>
                <w:szCs w:val="14"/>
              </w:rPr>
              <w:fldChar w:fldCharType="begin"/>
            </w:r>
            <w:r w:rsidR="00DA3C9F">
              <w:rPr>
                <w:b w:val="0"/>
                <w:snapToGrid/>
                <w:sz w:val="14"/>
                <w:szCs w:val="14"/>
              </w:rPr>
              <w:instrText xml:space="preserve"> ADDIN ZOTERO_ITEM CSL_CITATION {"citationID":"WOVqgudm","properties":{"formattedCitation":"[83]","plainCitation":"[83]","noteIndex":0},"citationItems":[{"id":115,"uris":["http://zotero.org/users/local/L5HAWlIW/items/5EU58R2Z"],"itemData":{"id":115,"type":"article-journal","abstract":"Objective:\n              To describe the experience with CytoSorb treatment in patients with refractory acute respiratory distress syndrome (ARDS) following SARS-CoV-2 infection.\n            \n            \n              Methods:\n              Retrospective observational study on 15 patients treated in a University Hospital.\n            \n            \n              Results:\n              All patients were male, with a mean age of 55 ± 14 years; eight patients (53%) were on venovenous extracorporeal membrane oxygenation (VV ECMO) due to refractory ARDS and all (100%) under mechanical ventilation at the time of CytoSorb use. We observed reduction in the level of C reactive protein (−52%, p = 0.002), total bilirubin (−46%, p = 0.03), direct bilirubin (−50%, p = 0.02), and D-dimers (−39%, p = 0.04) during CytoSorb treatment and a trend toward reduction in lactate dehydrogenase (−20%, p = 0.2), creatine phosphokinase (−38%, p = 0.1), and fibrinogen (−15%, p = 0.07). Eight patients died (53%) and seven (47%) were discharged from the ICU, of which five had recovery of the native lung function and two were successfully bridged to lung transplantation on VV ECMO support. No difference between survivors and non-survivors was present at baseline. Patients received three CytoSorb cycles on average: mean duration of CytoSorb cycle was 17 h 21 min, but premature circuit clotting despite appropriate level of systemic anticoagulation was frequently observed.\n            \n            \n              Conclusions:\n              CytoSorb treatment was effective in improving several laboratory parameters and inflammation in our experience and no treatment-related adverse effects were recorded. In the light of the unique pathophysiology of SARS-CoV-2 infection, CytoSorb treatment is extremely promising, since it might both reduce inflammation and activation of coagulation.","container-title":"The International Journal of Artificial Organs","DOI":"10.1177/03913988211052572","ISSN":"0391-3988, 1724-6040","issue":"2","journalAbbreviation":"Int J Artif Organs","language":"en","page":"216-220","source":"DOI.org (Crossref)","title":"CytoSorb purification in critically ill SARS-CoV-2 patients","volume":"45","author":[{"family":"Pieri","given":"Marina"},{"family":"Fominskiy","given":"Evgeny"},{"family":"Nardelli","given":"Pasquale"},{"family":"Bonizzoni","given":"Matteo A"},{"family":"Scandroglio","given":"Anna M"}],"issued":{"date-parts":[["2022",2]]}}}],"schema":"https://github.com/citation-style-language/schema/raw/master/csl-citation.json"} </w:instrText>
            </w:r>
            <w:r w:rsidR="00660AFE" w:rsidRPr="00483D15">
              <w:rPr>
                <w:snapToGrid/>
                <w:sz w:val="14"/>
                <w:szCs w:val="14"/>
              </w:rPr>
              <w:fldChar w:fldCharType="separate"/>
            </w:r>
            <w:r w:rsidR="00DA3C9F" w:rsidRPr="00DA3C9F">
              <w:rPr>
                <w:sz w:val="14"/>
              </w:rPr>
              <w:t>[83]</w:t>
            </w:r>
            <w:r w:rsidR="00660AFE" w:rsidRPr="00483D15">
              <w:rPr>
                <w:snapToGrid/>
                <w:sz w:val="14"/>
                <w:szCs w:val="14"/>
              </w:rPr>
              <w:fldChar w:fldCharType="end"/>
            </w:r>
          </w:p>
        </w:tc>
        <w:tc>
          <w:tcPr>
            <w:tcW w:w="1251" w:type="dxa"/>
            <w:vAlign w:val="center"/>
            <w:hideMark/>
          </w:tcPr>
          <w:p w14:paraId="5D223010"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ARDS, COVID-19</w:t>
            </w:r>
          </w:p>
        </w:tc>
        <w:tc>
          <w:tcPr>
            <w:tcW w:w="656" w:type="dxa"/>
            <w:vAlign w:val="center"/>
            <w:hideMark/>
          </w:tcPr>
          <w:p w14:paraId="039AB906"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15</w:t>
            </w:r>
          </w:p>
        </w:tc>
        <w:tc>
          <w:tcPr>
            <w:tcW w:w="637" w:type="dxa"/>
            <w:vAlign w:val="center"/>
            <w:hideMark/>
          </w:tcPr>
          <w:p w14:paraId="61B8BB2C"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w:t>
            </w:r>
          </w:p>
        </w:tc>
        <w:tc>
          <w:tcPr>
            <w:tcW w:w="1088" w:type="dxa"/>
            <w:vAlign w:val="center"/>
            <w:hideMark/>
          </w:tcPr>
          <w:p w14:paraId="06F17655"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retrospective observational</w:t>
            </w:r>
          </w:p>
        </w:tc>
        <w:tc>
          <w:tcPr>
            <w:tcW w:w="823" w:type="dxa"/>
            <w:vAlign w:val="center"/>
            <w:hideMark/>
          </w:tcPr>
          <w:p w14:paraId="78554B34"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proofErr w:type="spellStart"/>
            <w:r w:rsidRPr="00483D15">
              <w:rPr>
                <w:b/>
                <w:snapToGrid/>
                <w:sz w:val="14"/>
                <w:szCs w:val="14"/>
              </w:rPr>
              <w:t>CytoSorb</w:t>
            </w:r>
            <w:proofErr w:type="spellEnd"/>
          </w:p>
        </w:tc>
        <w:tc>
          <w:tcPr>
            <w:tcW w:w="963" w:type="dxa"/>
            <w:vAlign w:val="center"/>
            <w:hideMark/>
          </w:tcPr>
          <w:p w14:paraId="7B331029"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3</w:t>
            </w:r>
          </w:p>
        </w:tc>
        <w:tc>
          <w:tcPr>
            <w:tcW w:w="963" w:type="dxa"/>
            <w:vAlign w:val="center"/>
            <w:hideMark/>
          </w:tcPr>
          <w:p w14:paraId="70FFE1EA"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17 h (mean)</w:t>
            </w:r>
          </w:p>
        </w:tc>
        <w:tc>
          <w:tcPr>
            <w:tcW w:w="1134" w:type="dxa"/>
            <w:vAlign w:val="center"/>
            <w:hideMark/>
          </w:tcPr>
          <w:p w14:paraId="238AB2F0"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improved P/F ratio, reduced CRP</w:t>
            </w:r>
          </w:p>
        </w:tc>
      </w:tr>
      <w:tr w:rsidR="00DF2E2C" w:rsidRPr="00483D15" w14:paraId="44A9FCAD" w14:textId="77777777" w:rsidTr="00B85C82">
        <w:trPr>
          <w:trHeight w:val="1010"/>
          <w:jc w:val="center"/>
        </w:trPr>
        <w:tc>
          <w:tcPr>
            <w:cnfStyle w:val="001000000000" w:firstRow="0" w:lastRow="0" w:firstColumn="1" w:lastColumn="0" w:oddVBand="0" w:evenVBand="0" w:oddHBand="0" w:evenHBand="0" w:firstRowFirstColumn="0" w:firstRowLastColumn="0" w:lastRowFirstColumn="0" w:lastRowLastColumn="0"/>
            <w:tcW w:w="1002" w:type="dxa"/>
            <w:vAlign w:val="center"/>
            <w:hideMark/>
          </w:tcPr>
          <w:p w14:paraId="543CA2F1" w14:textId="52CD861B" w:rsidR="00374825" w:rsidRPr="00483D15" w:rsidRDefault="00374825" w:rsidP="00483D15">
            <w:pPr>
              <w:pStyle w:val="MDPI42tablebody"/>
              <w:spacing w:line="240" w:lineRule="auto"/>
              <w:rPr>
                <w:b w:val="0"/>
                <w:snapToGrid/>
                <w:sz w:val="14"/>
                <w:szCs w:val="14"/>
              </w:rPr>
            </w:pPr>
            <w:r w:rsidRPr="00483D15">
              <w:rPr>
                <w:b w:val="0"/>
                <w:snapToGrid/>
                <w:sz w:val="14"/>
                <w:szCs w:val="14"/>
              </w:rPr>
              <w:t>Ramírez-Guerro et al., 2020</w:t>
            </w:r>
            <w:r w:rsidR="00660AFE" w:rsidRPr="00483D15">
              <w:rPr>
                <w:snapToGrid/>
                <w:sz w:val="14"/>
                <w:szCs w:val="14"/>
              </w:rPr>
              <w:fldChar w:fldCharType="begin"/>
            </w:r>
            <w:r w:rsidR="00BC50CA">
              <w:rPr>
                <w:b w:val="0"/>
                <w:snapToGrid/>
                <w:sz w:val="14"/>
                <w:szCs w:val="14"/>
              </w:rPr>
              <w:instrText xml:space="preserve"> ADDIN ZOTERO_ITEM CSL_CITATION {"citationID":"CcZvmbPL","properties":{"formattedCitation":"[84]","plainCitation":"[84]","noteIndex":0},"citationItems":[{"id":116,"uris":["http://zotero.org/users/local/L5HAWlIW/items/6XG6DV7F"],"itemData":{"id":116,"type":"article-journal","abstract":"We present the case of a patient who suffered from acute respiratory distress syndrome caused by pneumonia associated with COVID-19 and cytokine release syndrome. This patient received a high-volume hemofiltration plus adsorption, solving the hemodynamic deterioration, pulmonary infiltrates, and gas exchange. Our clinical case proposes that the extracorporeal therapies can have a role in the management of severe COVID-19.","container-title":"Blood Purification","DOI":"10.1159/000512982","ISSN":"0253-5068, 1421-9735","issue":"4-5","journalAbbreviation":"Blood Purif","language":"en","page":"575-577","source":"DOI.org (Crossref)","title":"Early Cytokine Removal in Critical COVID-19 Patients with Extracorporeal Therapies (HA-380 plus High Volume Hemofiltration) May Prevent Progression of Acute Respiratory Distress Syndrome: Case Report","title-short":"Early Cytokine Removal in Critical COVID-19 Patients with Extracorporeal Therapies (HA-380 plus High Volume Hemofiltration) May Prevent Progression of Acute Respiratory Distress Syndrome","volume":"50","author":[{"family":"Ramírez-Guerrero","given":"Gonzalo"},{"family":"Torres Cifuentes","given":"Vicente"},{"family":"Baghetti Hernández","given":"Romyna"},{"family":"Villagrán Cortés","given":"Francisco"},{"family":"Rojas Doll","given":"Simón"},{"family":"Oliva Alarcón","given":"Rocio"},{"family":"Lucero Córdova","given":"Cristian"},{"family":"Flores Fernandez","given":"Pablo"},{"family":"Garay Coloma","given":"Osvaldo"}],"issued":{"date-parts":[["2021"]]}}}],"schema":"https://github.com/citation-style-language/schema/raw/master/csl-citation.json"} </w:instrText>
            </w:r>
            <w:r w:rsidR="00660AFE" w:rsidRPr="00483D15">
              <w:rPr>
                <w:snapToGrid/>
                <w:sz w:val="14"/>
                <w:szCs w:val="14"/>
              </w:rPr>
              <w:fldChar w:fldCharType="separate"/>
            </w:r>
            <w:r w:rsidR="00BC50CA" w:rsidRPr="00BC50CA">
              <w:rPr>
                <w:sz w:val="14"/>
              </w:rPr>
              <w:t>[84]</w:t>
            </w:r>
            <w:r w:rsidR="00660AFE" w:rsidRPr="00483D15">
              <w:rPr>
                <w:snapToGrid/>
                <w:sz w:val="14"/>
                <w:szCs w:val="14"/>
              </w:rPr>
              <w:fldChar w:fldCharType="end"/>
            </w:r>
          </w:p>
        </w:tc>
        <w:tc>
          <w:tcPr>
            <w:tcW w:w="1251" w:type="dxa"/>
            <w:vAlign w:val="center"/>
            <w:hideMark/>
          </w:tcPr>
          <w:p w14:paraId="3543D2BD"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ARDS, COVID-19</w:t>
            </w:r>
          </w:p>
        </w:tc>
        <w:tc>
          <w:tcPr>
            <w:tcW w:w="656" w:type="dxa"/>
            <w:vAlign w:val="center"/>
            <w:hideMark/>
          </w:tcPr>
          <w:p w14:paraId="05F878AD"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1</w:t>
            </w:r>
          </w:p>
        </w:tc>
        <w:tc>
          <w:tcPr>
            <w:tcW w:w="637" w:type="dxa"/>
            <w:vAlign w:val="center"/>
            <w:hideMark/>
          </w:tcPr>
          <w:p w14:paraId="283A3A6C"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w:t>
            </w:r>
          </w:p>
        </w:tc>
        <w:tc>
          <w:tcPr>
            <w:tcW w:w="1088" w:type="dxa"/>
            <w:vAlign w:val="center"/>
            <w:hideMark/>
          </w:tcPr>
          <w:p w14:paraId="5CE01634"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case report</w:t>
            </w:r>
          </w:p>
        </w:tc>
        <w:tc>
          <w:tcPr>
            <w:tcW w:w="823" w:type="dxa"/>
            <w:vAlign w:val="center"/>
            <w:hideMark/>
          </w:tcPr>
          <w:p w14:paraId="1BC0A1FC"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proofErr w:type="spellStart"/>
            <w:r w:rsidRPr="00483D15">
              <w:rPr>
                <w:b/>
                <w:snapToGrid/>
                <w:sz w:val="14"/>
                <w:szCs w:val="14"/>
              </w:rPr>
              <w:t>Jafron</w:t>
            </w:r>
            <w:proofErr w:type="spellEnd"/>
            <w:r w:rsidRPr="00483D15">
              <w:rPr>
                <w:b/>
                <w:snapToGrid/>
                <w:sz w:val="14"/>
                <w:szCs w:val="14"/>
              </w:rPr>
              <w:t xml:space="preserve"> HA-380</w:t>
            </w:r>
          </w:p>
        </w:tc>
        <w:tc>
          <w:tcPr>
            <w:tcW w:w="963" w:type="dxa"/>
            <w:vAlign w:val="center"/>
            <w:hideMark/>
          </w:tcPr>
          <w:p w14:paraId="4812F2E6"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1</w:t>
            </w:r>
          </w:p>
        </w:tc>
        <w:tc>
          <w:tcPr>
            <w:tcW w:w="963" w:type="dxa"/>
            <w:vAlign w:val="center"/>
            <w:hideMark/>
          </w:tcPr>
          <w:p w14:paraId="19FD3DCB"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10 h</w:t>
            </w:r>
          </w:p>
        </w:tc>
        <w:tc>
          <w:tcPr>
            <w:tcW w:w="1134" w:type="dxa"/>
            <w:vAlign w:val="center"/>
            <w:hideMark/>
          </w:tcPr>
          <w:p w14:paraId="23385F3A"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improved P/F ratio, and CT picture</w:t>
            </w:r>
          </w:p>
        </w:tc>
      </w:tr>
      <w:tr w:rsidR="00DF2E2C" w:rsidRPr="00483D15" w14:paraId="533375E5" w14:textId="77777777" w:rsidTr="00B85C82">
        <w:trPr>
          <w:cnfStyle w:val="000000100000" w:firstRow="0" w:lastRow="0" w:firstColumn="0" w:lastColumn="0" w:oddVBand="0" w:evenVBand="0" w:oddHBand="1" w:evenHBand="0" w:firstRowFirstColumn="0" w:firstRowLastColumn="0" w:lastRowFirstColumn="0" w:lastRowLastColumn="0"/>
          <w:trHeight w:val="1752"/>
          <w:jc w:val="center"/>
        </w:trPr>
        <w:tc>
          <w:tcPr>
            <w:cnfStyle w:val="001000000000" w:firstRow="0" w:lastRow="0" w:firstColumn="1" w:lastColumn="0" w:oddVBand="0" w:evenVBand="0" w:oddHBand="0" w:evenHBand="0" w:firstRowFirstColumn="0" w:firstRowLastColumn="0" w:lastRowFirstColumn="0" w:lastRowLastColumn="0"/>
            <w:tcW w:w="1002" w:type="dxa"/>
            <w:vAlign w:val="center"/>
            <w:hideMark/>
          </w:tcPr>
          <w:p w14:paraId="484F5310" w14:textId="10902D86" w:rsidR="00374825" w:rsidRPr="00483D15" w:rsidRDefault="00374825" w:rsidP="00483D15">
            <w:pPr>
              <w:pStyle w:val="MDPI42tablebody"/>
              <w:spacing w:line="240" w:lineRule="auto"/>
              <w:rPr>
                <w:b w:val="0"/>
                <w:snapToGrid/>
                <w:sz w:val="14"/>
                <w:szCs w:val="14"/>
              </w:rPr>
            </w:pPr>
            <w:r w:rsidRPr="00483D15">
              <w:rPr>
                <w:b w:val="0"/>
                <w:snapToGrid/>
                <w:sz w:val="14"/>
                <w:szCs w:val="14"/>
              </w:rPr>
              <w:t>Rampino et al., 2020</w:t>
            </w:r>
            <w:r w:rsidR="00660AFE" w:rsidRPr="00483D15">
              <w:rPr>
                <w:snapToGrid/>
                <w:sz w:val="14"/>
                <w:szCs w:val="14"/>
              </w:rPr>
              <w:fldChar w:fldCharType="begin"/>
            </w:r>
            <w:r w:rsidR="00AF7531">
              <w:rPr>
                <w:b w:val="0"/>
                <w:snapToGrid/>
                <w:sz w:val="14"/>
                <w:szCs w:val="14"/>
              </w:rPr>
              <w:instrText xml:space="preserve"> ADDIN ZOTERO_ITEM CSL_CITATION {"citationID":"Eg7fQEqt","properties":{"formattedCitation":"[85]","plainCitation":"[85]","noteIndex":0},"citationItems":[{"id":1207,"uris":["http://zotero.org/users/local/L5HAWlIW/items/7L5U4LWW"],"itemData":{"id":1207,"type":"article-journal","abstract":"We report a preliminary experience of adjuvant therapy with Hemoperfusion (HP) in patients with Severe Acute Respiratory Syndrome-CoronaVirus 2 (SARS-CoV2)  pneumonia. Currently, there are no approved treatments for CoronaVirus Disease 19  (COVID-19); however, therapeutic strategies based on the preclinical evidence  include supportive measures, such as oxygen supplementation, antiviral, and  anticoagulant agents. Despite these treatments, 10% of patients worsen and  develop severe acute respiratory distress syndrome (ARDS). Since the pathogenic  mechanism of ARDS is an uncontrolled inflammatory state, we speculate that  removing inflammation effectors from blood may contrast tissue injury and improve  clinical outcome. In a scenario of dramatic medical emergency, we conducted an  observational study on 9 consecutive patients hospitalized in COVID Intensive  Care Unit, where 5 of 9 consecutive patients were treated with HP, due to the  emergency overload made it impossible to deliver blood purification in the other  4 patients. COVID-19 was diagnosed through the identification of virus sequences  by reverse transcription-PCR on respiratory specimens. All patients had severe  pneumonia requiring continuous positive airway pressure. HP was started in all  patients 6-7 days after hospital admission. The treated patients (T) received 2  consecutive sessions of HP using CytoSorb cartridge. Our results show a better  clinical course of T compared to control patients (C), in fact all T except 1  survived, and only 2 of them were intubated, while all C required intubation and  died. Lymphocytopenia worsened in C but not in T. C-reactive protein decreased in  both patients, but to a greater extent in T. IL-6, IL-8, and TNF-α decreased  after HP, IL-10 did not change. Respiratory function remained stable and did not  worsen in T compared to C. The limited sample size and observational study design  preclude a sound statement about the potential effectiveness of HP in COVID-19  patients, but our experience suggests a potential therapeutic role of adjuvant  CytoSorb HP in the early course of CO-VID-19 pneumonia. A randomized clinical  trial is ongoing.","container-title":"Blood purification","DOI":"10.1159/000511725","ISSN":"1421-9735 0253-5068","issue":"4-5","journalAbbreviation":"Blood Purif","language":"eng","license":"The Author(s). Published by S. Karger AG, Basel.","note":"publisher-place: Switzerland\nPMID: 33181508 \nPMCID: PMC7705939","page":"566-571","title":"Hemoperfusion with CytoSorb as Adjuvant Therapy in Critically Ill Patients with SARS-CoV2 Pneumonia.","volume":"50","author":[{"family":"Rampino","given":"Teresa"},{"family":"Gregorini","given":"Marilena"},{"family":"Perotti","given":"Luciano"},{"family":"Ferrari","given":"Fiorenza"},{"family":"Pattonieri","given":"Eleonora Francesca"},{"family":"Grignano","given":"Maria Antonietta"},{"family":"Valente","given":"Mauro"},{"family":"Garrone","given":"Alberto"},{"family":"Islam","given":"Tefik"},{"family":"Libetta","given":"Carmelo"},{"family":"Sepe","given":"Vincenzo"},{"family":"Albertini","given":"Riccardo"},{"family":"Bruno","given":"Raffaele"},{"family":"Belliato","given":"Mirko"}],"issued":{"date-parts":[["2021"]]}}}],"schema":"https://github.com/citation-style-language/schema/raw/master/csl-citation.json"} </w:instrText>
            </w:r>
            <w:r w:rsidR="00660AFE" w:rsidRPr="00483D15">
              <w:rPr>
                <w:snapToGrid/>
                <w:sz w:val="14"/>
                <w:szCs w:val="14"/>
              </w:rPr>
              <w:fldChar w:fldCharType="separate"/>
            </w:r>
            <w:r w:rsidR="00AF7531" w:rsidRPr="00AF7531">
              <w:rPr>
                <w:sz w:val="14"/>
              </w:rPr>
              <w:t>[85]</w:t>
            </w:r>
            <w:r w:rsidR="00660AFE" w:rsidRPr="00483D15">
              <w:rPr>
                <w:snapToGrid/>
                <w:sz w:val="14"/>
                <w:szCs w:val="14"/>
              </w:rPr>
              <w:fldChar w:fldCharType="end"/>
            </w:r>
          </w:p>
        </w:tc>
        <w:tc>
          <w:tcPr>
            <w:tcW w:w="1251" w:type="dxa"/>
            <w:vAlign w:val="center"/>
            <w:hideMark/>
          </w:tcPr>
          <w:p w14:paraId="26325AF7"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COVID-19</w:t>
            </w:r>
          </w:p>
        </w:tc>
        <w:tc>
          <w:tcPr>
            <w:tcW w:w="656" w:type="dxa"/>
            <w:vAlign w:val="center"/>
            <w:hideMark/>
          </w:tcPr>
          <w:p w14:paraId="74D87A83"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5</w:t>
            </w:r>
          </w:p>
        </w:tc>
        <w:tc>
          <w:tcPr>
            <w:tcW w:w="637" w:type="dxa"/>
            <w:vAlign w:val="center"/>
            <w:hideMark/>
          </w:tcPr>
          <w:p w14:paraId="2FE0EA0E"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4</w:t>
            </w:r>
          </w:p>
        </w:tc>
        <w:tc>
          <w:tcPr>
            <w:tcW w:w="1088" w:type="dxa"/>
            <w:vAlign w:val="center"/>
            <w:hideMark/>
          </w:tcPr>
          <w:p w14:paraId="627FD54E"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case series</w:t>
            </w:r>
          </w:p>
        </w:tc>
        <w:tc>
          <w:tcPr>
            <w:tcW w:w="823" w:type="dxa"/>
            <w:vAlign w:val="center"/>
            <w:hideMark/>
          </w:tcPr>
          <w:p w14:paraId="5D26F058"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proofErr w:type="spellStart"/>
            <w:r w:rsidRPr="00483D15">
              <w:rPr>
                <w:b/>
                <w:snapToGrid/>
                <w:sz w:val="14"/>
                <w:szCs w:val="14"/>
              </w:rPr>
              <w:t>CytoSorb</w:t>
            </w:r>
            <w:proofErr w:type="spellEnd"/>
          </w:p>
        </w:tc>
        <w:tc>
          <w:tcPr>
            <w:tcW w:w="963" w:type="dxa"/>
            <w:vAlign w:val="center"/>
            <w:hideMark/>
          </w:tcPr>
          <w:p w14:paraId="39DF4619"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2</w:t>
            </w:r>
          </w:p>
        </w:tc>
        <w:tc>
          <w:tcPr>
            <w:tcW w:w="963" w:type="dxa"/>
            <w:vAlign w:val="center"/>
            <w:hideMark/>
          </w:tcPr>
          <w:p w14:paraId="4590F6A9"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4h sessions in 2 consecutive days</w:t>
            </w:r>
          </w:p>
        </w:tc>
        <w:tc>
          <w:tcPr>
            <w:tcW w:w="1134" w:type="dxa"/>
            <w:vAlign w:val="center"/>
            <w:hideMark/>
          </w:tcPr>
          <w:p w14:paraId="65539978"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better clinical course (mortality, PaO</w:t>
            </w:r>
            <w:r w:rsidRPr="003A5308">
              <w:rPr>
                <w:b/>
                <w:snapToGrid/>
                <w:sz w:val="14"/>
                <w:szCs w:val="14"/>
                <w:vertAlign w:val="subscript"/>
              </w:rPr>
              <w:t>2</w:t>
            </w:r>
            <w:r w:rsidRPr="00483D15">
              <w:rPr>
                <w:b/>
                <w:snapToGrid/>
                <w:sz w:val="14"/>
                <w:szCs w:val="14"/>
              </w:rPr>
              <w:t>/FiO</w:t>
            </w:r>
            <w:r w:rsidRPr="003A5308">
              <w:rPr>
                <w:b/>
                <w:snapToGrid/>
                <w:sz w:val="14"/>
                <w:szCs w:val="14"/>
                <w:vertAlign w:val="subscript"/>
              </w:rPr>
              <w:t>2</w:t>
            </w:r>
            <w:r w:rsidRPr="00483D15">
              <w:rPr>
                <w:b/>
                <w:snapToGrid/>
                <w:sz w:val="14"/>
                <w:szCs w:val="14"/>
              </w:rPr>
              <w:t>), lymphocyte no. improved, CRP decreased to grater extent, as well as IL-6, IL-8, and TNF-α decreased, IL-10 remained unchanged</w:t>
            </w:r>
          </w:p>
        </w:tc>
      </w:tr>
      <w:tr w:rsidR="00DF2E2C" w:rsidRPr="00483D15" w14:paraId="597E9AE4" w14:textId="77777777" w:rsidTr="00B85C82">
        <w:trPr>
          <w:trHeight w:val="584"/>
          <w:jc w:val="center"/>
        </w:trPr>
        <w:tc>
          <w:tcPr>
            <w:cnfStyle w:val="001000000000" w:firstRow="0" w:lastRow="0" w:firstColumn="1" w:lastColumn="0" w:oddVBand="0" w:evenVBand="0" w:oddHBand="0" w:evenHBand="0" w:firstRowFirstColumn="0" w:firstRowLastColumn="0" w:lastRowFirstColumn="0" w:lastRowLastColumn="0"/>
            <w:tcW w:w="1002" w:type="dxa"/>
            <w:vAlign w:val="center"/>
            <w:hideMark/>
          </w:tcPr>
          <w:p w14:paraId="783EC235" w14:textId="2383F29A" w:rsidR="00374825" w:rsidRPr="00483D15" w:rsidRDefault="00374825" w:rsidP="00483D15">
            <w:pPr>
              <w:pStyle w:val="MDPI42tablebody"/>
              <w:spacing w:line="240" w:lineRule="auto"/>
              <w:rPr>
                <w:b w:val="0"/>
                <w:snapToGrid/>
                <w:sz w:val="14"/>
                <w:szCs w:val="14"/>
              </w:rPr>
            </w:pPr>
            <w:r w:rsidRPr="00483D15">
              <w:rPr>
                <w:b w:val="0"/>
                <w:snapToGrid/>
                <w:sz w:val="14"/>
                <w:szCs w:val="14"/>
              </w:rPr>
              <w:lastRenderedPageBreak/>
              <w:t>Rieder et al., 2020</w:t>
            </w:r>
            <w:r w:rsidR="00660AFE" w:rsidRPr="00483D15">
              <w:rPr>
                <w:snapToGrid/>
                <w:sz w:val="14"/>
                <w:szCs w:val="14"/>
              </w:rPr>
              <w:fldChar w:fldCharType="begin"/>
            </w:r>
            <w:r w:rsidR="00D63D37">
              <w:rPr>
                <w:b w:val="0"/>
                <w:snapToGrid/>
                <w:sz w:val="14"/>
                <w:szCs w:val="14"/>
              </w:rPr>
              <w:instrText xml:space="preserve"> ADDIN ZOTERO_ITEM CSL_CITATION {"citationID":"F0YvuBDk","properties":{"formattedCitation":"[86]","plainCitation":"[86]","noteIndex":0},"citationItems":[{"id":118,"uris":["http://zotero.org/users/local/L5HAWlIW/items/P3LRKA7P"],"itemData":{"id":118,"type":"article-journal","container-title":"Artificial Organs","DOI":"10.1111/aor.13805","ISSN":"0160-564X, 1525-1594","issue":"2","journalAbbreviation":"Artif. Organs","language":"en","page":"191-194","source":"DOI.org (Crossref)","title":"Cytokine adsorption in a patient with severe coronavirus disease 2019 related acute respiratory distress syndrome requiring extracorporeal membrane oxygenation therapy: A case report","title-short":"Cytokine adsorption in a patient with severe coronavirus disease 2019 related acute respiratory distress syndrome requiring extracorporeal membrane oxygenation therapy","volume":"45","author":[{"family":"Rieder","given":"Marina"},{"family":"Zahn","given":"Timm"},{"family":"Benk","given":"Christoph"},{"family":"Lother","given":"Achim"},{"family":"Bode","given":"Christoph"},{"family":"Staudacher","given":"Dawid"},{"family":"Duerschmied","given":"Daniel"},{"family":"Supady","given":"Alexander"}],"issued":{"date-parts":[["2021",2]]}}}],"schema":"https://github.com/citation-style-language/schema/raw/master/csl-citation.json"} </w:instrText>
            </w:r>
            <w:r w:rsidR="00660AFE" w:rsidRPr="00483D15">
              <w:rPr>
                <w:snapToGrid/>
                <w:sz w:val="14"/>
                <w:szCs w:val="14"/>
              </w:rPr>
              <w:fldChar w:fldCharType="separate"/>
            </w:r>
            <w:r w:rsidR="00D63D37" w:rsidRPr="00D63D37">
              <w:rPr>
                <w:sz w:val="14"/>
              </w:rPr>
              <w:t>[86]</w:t>
            </w:r>
            <w:r w:rsidR="00660AFE" w:rsidRPr="00483D15">
              <w:rPr>
                <w:snapToGrid/>
                <w:sz w:val="14"/>
                <w:szCs w:val="14"/>
              </w:rPr>
              <w:fldChar w:fldCharType="end"/>
            </w:r>
          </w:p>
        </w:tc>
        <w:tc>
          <w:tcPr>
            <w:tcW w:w="1251" w:type="dxa"/>
            <w:vAlign w:val="center"/>
            <w:hideMark/>
          </w:tcPr>
          <w:p w14:paraId="1AAD5A4D"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ARDS, COVID-19</w:t>
            </w:r>
          </w:p>
        </w:tc>
        <w:tc>
          <w:tcPr>
            <w:tcW w:w="656" w:type="dxa"/>
            <w:vAlign w:val="center"/>
            <w:hideMark/>
          </w:tcPr>
          <w:p w14:paraId="076DF6F2"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1</w:t>
            </w:r>
          </w:p>
        </w:tc>
        <w:tc>
          <w:tcPr>
            <w:tcW w:w="637" w:type="dxa"/>
            <w:vAlign w:val="center"/>
            <w:hideMark/>
          </w:tcPr>
          <w:p w14:paraId="20A75385"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w:t>
            </w:r>
          </w:p>
        </w:tc>
        <w:tc>
          <w:tcPr>
            <w:tcW w:w="1088" w:type="dxa"/>
            <w:vAlign w:val="center"/>
            <w:hideMark/>
          </w:tcPr>
          <w:p w14:paraId="4E3BD23C"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case report</w:t>
            </w:r>
          </w:p>
        </w:tc>
        <w:tc>
          <w:tcPr>
            <w:tcW w:w="823" w:type="dxa"/>
            <w:vAlign w:val="center"/>
            <w:hideMark/>
          </w:tcPr>
          <w:p w14:paraId="67FD151F"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proofErr w:type="spellStart"/>
            <w:r w:rsidRPr="00483D15">
              <w:rPr>
                <w:b/>
                <w:snapToGrid/>
                <w:sz w:val="14"/>
                <w:szCs w:val="14"/>
              </w:rPr>
              <w:t>CytoSorb</w:t>
            </w:r>
            <w:proofErr w:type="spellEnd"/>
          </w:p>
        </w:tc>
        <w:tc>
          <w:tcPr>
            <w:tcW w:w="963" w:type="dxa"/>
            <w:vAlign w:val="center"/>
            <w:hideMark/>
          </w:tcPr>
          <w:p w14:paraId="7320317B"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1</w:t>
            </w:r>
          </w:p>
        </w:tc>
        <w:tc>
          <w:tcPr>
            <w:tcW w:w="963" w:type="dxa"/>
            <w:vAlign w:val="center"/>
            <w:hideMark/>
          </w:tcPr>
          <w:p w14:paraId="3517391D"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72 h</w:t>
            </w:r>
          </w:p>
        </w:tc>
        <w:tc>
          <w:tcPr>
            <w:tcW w:w="1134" w:type="dxa"/>
            <w:vAlign w:val="center"/>
            <w:hideMark/>
          </w:tcPr>
          <w:p w14:paraId="56F6EA12"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reduction in PLT count, in CRP and IL-6.</w:t>
            </w:r>
          </w:p>
        </w:tc>
      </w:tr>
      <w:tr w:rsidR="00DF2E2C" w:rsidRPr="00483D15" w14:paraId="77D7C263" w14:textId="77777777" w:rsidTr="00B85C82">
        <w:trPr>
          <w:cnfStyle w:val="000000100000" w:firstRow="0" w:lastRow="0" w:firstColumn="0" w:lastColumn="0" w:oddVBand="0" w:evenVBand="0" w:oddHBand="1" w:evenHBand="0" w:firstRowFirstColumn="0" w:firstRowLastColumn="0" w:lastRowFirstColumn="0" w:lastRowLastColumn="0"/>
          <w:trHeight w:val="938"/>
          <w:jc w:val="center"/>
        </w:trPr>
        <w:tc>
          <w:tcPr>
            <w:cnfStyle w:val="001000000000" w:firstRow="0" w:lastRow="0" w:firstColumn="1" w:lastColumn="0" w:oddVBand="0" w:evenVBand="0" w:oddHBand="0" w:evenHBand="0" w:firstRowFirstColumn="0" w:firstRowLastColumn="0" w:lastRowFirstColumn="0" w:lastRowLastColumn="0"/>
            <w:tcW w:w="1002" w:type="dxa"/>
            <w:vAlign w:val="center"/>
            <w:hideMark/>
          </w:tcPr>
          <w:p w14:paraId="6908FB4F" w14:textId="662395C4" w:rsidR="00374825" w:rsidRPr="00483D15" w:rsidRDefault="00374825" w:rsidP="00483D15">
            <w:pPr>
              <w:pStyle w:val="MDPI42tablebody"/>
              <w:spacing w:line="240" w:lineRule="auto"/>
              <w:rPr>
                <w:b w:val="0"/>
                <w:snapToGrid/>
                <w:sz w:val="14"/>
                <w:szCs w:val="14"/>
              </w:rPr>
            </w:pPr>
            <w:r w:rsidRPr="00483D15">
              <w:rPr>
                <w:b w:val="0"/>
                <w:snapToGrid/>
                <w:sz w:val="14"/>
                <w:szCs w:val="14"/>
              </w:rPr>
              <w:t>Rizvi et al., 2020</w:t>
            </w:r>
            <w:r w:rsidR="0008491D" w:rsidRPr="00483D15">
              <w:rPr>
                <w:snapToGrid/>
                <w:sz w:val="14"/>
                <w:szCs w:val="14"/>
              </w:rPr>
              <w:fldChar w:fldCharType="begin"/>
            </w:r>
            <w:r w:rsidR="00FA3599">
              <w:rPr>
                <w:b w:val="0"/>
                <w:snapToGrid/>
                <w:sz w:val="14"/>
                <w:szCs w:val="14"/>
              </w:rPr>
              <w:instrText xml:space="preserve"> ADDIN ZOTERO_ITEM CSL_CITATION {"citationID":"RyHDJT4p","properties":{"formattedCitation":"[87]","plainCitation":"[87]","noteIndex":0},"citationItems":[{"id":1215,"uris":["http://zotero.org/users/local/L5HAWlIW/items/DMEYEHSA"],"itemData":{"id":1215,"type":"article-journal","abstract":"COVID-19 is a pandemic that has affected not only the United States, but the entire world. The impact it has had has overwhelmed the entire healthcare system,  from the unknown carrier status, poor testing capabilities to hospitals running  out of ventilators for severely ill patients. There has been a variety of  potential treatment modalities for the various forms of illness ranging from  asymptomatic carriers to the ventilated ICU patients. These include  anti-inflammatory medications, antibiotics, immune-modulators, convalescent  plasma, and others. The cytokine storm that inflicts some patients can be  devastating to the vital organs of the human body in the form of acute  respiratory distress syndrome (ARDS), renal failure, coagulopathy, and death.  Cytosorbents® cytokine filter is a potential treatment methodology aimed at  reducing the cytokine storm, thus serving as a bridge for therapy in the acutely  ill patients infected with COVID-19. The following case report demonstrates the  utility in a critically ill patient who survived the cytokine storm after  receiving the cytokine filter via continuous renal replacement therapy bridging  him to further definitive therapy.","container-title":"Heart &amp; lung : the journal of critical care","DOI":"10.1016/j.hrtlng.2020.09.007","ISSN":"1527-3288 0147-9563","issue":"1","journalAbbreviation":"Heart Lung","language":"eng","license":"Copyright © 2020 The Authors. Published by Elsevier Inc. All rights reserved.","note":"publisher-place: United States\nPMID: 33041058 \nPMCID: PMC7500900","page":"44-50","title":"Cytosorb filter: An adjunct for survival in the COVID-19 patient in cytokine storm? a case report.","volume":"50","author":[{"family":"Rizvi","given":"Saniya"},{"family":"Danic","given":"Michael"},{"family":"Silver","given":"Mark"},{"family":"LaBond","given":"Virginia"}],"issued":{"date-parts":[["2021",2]]}}}],"schema":"https://github.com/citation-style-language/schema/raw/master/csl-citation.json"} </w:instrText>
            </w:r>
            <w:r w:rsidR="0008491D" w:rsidRPr="00483D15">
              <w:rPr>
                <w:snapToGrid/>
                <w:sz w:val="14"/>
                <w:szCs w:val="14"/>
              </w:rPr>
              <w:fldChar w:fldCharType="separate"/>
            </w:r>
            <w:r w:rsidR="00FA3599" w:rsidRPr="00FA3599">
              <w:rPr>
                <w:sz w:val="14"/>
              </w:rPr>
              <w:t>[87]</w:t>
            </w:r>
            <w:r w:rsidR="0008491D" w:rsidRPr="00483D15">
              <w:rPr>
                <w:snapToGrid/>
                <w:sz w:val="14"/>
                <w:szCs w:val="14"/>
              </w:rPr>
              <w:fldChar w:fldCharType="end"/>
            </w:r>
          </w:p>
        </w:tc>
        <w:tc>
          <w:tcPr>
            <w:tcW w:w="1251" w:type="dxa"/>
            <w:vAlign w:val="center"/>
            <w:hideMark/>
          </w:tcPr>
          <w:p w14:paraId="189E07C7"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ARDS, COVID-19</w:t>
            </w:r>
          </w:p>
        </w:tc>
        <w:tc>
          <w:tcPr>
            <w:tcW w:w="656" w:type="dxa"/>
            <w:vAlign w:val="center"/>
            <w:hideMark/>
          </w:tcPr>
          <w:p w14:paraId="019D1D5C"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1</w:t>
            </w:r>
          </w:p>
        </w:tc>
        <w:tc>
          <w:tcPr>
            <w:tcW w:w="637" w:type="dxa"/>
            <w:vAlign w:val="center"/>
            <w:hideMark/>
          </w:tcPr>
          <w:p w14:paraId="037C1184"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w:t>
            </w:r>
          </w:p>
        </w:tc>
        <w:tc>
          <w:tcPr>
            <w:tcW w:w="1088" w:type="dxa"/>
            <w:vAlign w:val="center"/>
            <w:hideMark/>
          </w:tcPr>
          <w:p w14:paraId="49B8A62F"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case report</w:t>
            </w:r>
          </w:p>
        </w:tc>
        <w:tc>
          <w:tcPr>
            <w:tcW w:w="823" w:type="dxa"/>
            <w:vAlign w:val="center"/>
            <w:hideMark/>
          </w:tcPr>
          <w:p w14:paraId="4BCC2502"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proofErr w:type="spellStart"/>
            <w:r w:rsidRPr="00483D15">
              <w:rPr>
                <w:b/>
                <w:snapToGrid/>
                <w:sz w:val="14"/>
                <w:szCs w:val="14"/>
              </w:rPr>
              <w:t>CytoSorb</w:t>
            </w:r>
            <w:proofErr w:type="spellEnd"/>
          </w:p>
        </w:tc>
        <w:tc>
          <w:tcPr>
            <w:tcW w:w="963" w:type="dxa"/>
            <w:vAlign w:val="center"/>
            <w:hideMark/>
          </w:tcPr>
          <w:p w14:paraId="71B4A6B3"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8</w:t>
            </w:r>
          </w:p>
        </w:tc>
        <w:tc>
          <w:tcPr>
            <w:tcW w:w="963" w:type="dxa"/>
            <w:vAlign w:val="center"/>
            <w:hideMark/>
          </w:tcPr>
          <w:p w14:paraId="3A6C0D39"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first 4 for 12h, then 4 for 24h</w:t>
            </w:r>
          </w:p>
        </w:tc>
        <w:tc>
          <w:tcPr>
            <w:tcW w:w="1134" w:type="dxa"/>
            <w:vAlign w:val="center"/>
            <w:hideMark/>
          </w:tcPr>
          <w:p w14:paraId="5E4428A2"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reduction of PLT, Hgb, WBC</w:t>
            </w:r>
          </w:p>
        </w:tc>
      </w:tr>
      <w:tr w:rsidR="00DF2E2C" w:rsidRPr="00483D15" w14:paraId="0778A57E" w14:textId="77777777" w:rsidTr="00B85C82">
        <w:trPr>
          <w:trHeight w:val="876"/>
          <w:jc w:val="center"/>
        </w:trPr>
        <w:tc>
          <w:tcPr>
            <w:cnfStyle w:val="001000000000" w:firstRow="0" w:lastRow="0" w:firstColumn="1" w:lastColumn="0" w:oddVBand="0" w:evenVBand="0" w:oddHBand="0" w:evenHBand="0" w:firstRowFirstColumn="0" w:firstRowLastColumn="0" w:lastRowFirstColumn="0" w:lastRowLastColumn="0"/>
            <w:tcW w:w="1002" w:type="dxa"/>
            <w:vAlign w:val="center"/>
            <w:hideMark/>
          </w:tcPr>
          <w:p w14:paraId="2B49539E" w14:textId="1A3265BA" w:rsidR="00374825" w:rsidRPr="00483D15" w:rsidRDefault="00374825" w:rsidP="00483D15">
            <w:pPr>
              <w:pStyle w:val="MDPI42tablebody"/>
              <w:spacing w:line="240" w:lineRule="auto"/>
              <w:rPr>
                <w:b w:val="0"/>
                <w:snapToGrid/>
                <w:sz w:val="14"/>
                <w:szCs w:val="14"/>
              </w:rPr>
            </w:pPr>
            <w:proofErr w:type="spellStart"/>
            <w:r w:rsidRPr="00483D15">
              <w:rPr>
                <w:b w:val="0"/>
                <w:snapToGrid/>
                <w:sz w:val="14"/>
                <w:szCs w:val="14"/>
              </w:rPr>
              <w:t>Rodeia</w:t>
            </w:r>
            <w:proofErr w:type="spellEnd"/>
            <w:r w:rsidRPr="00483D15">
              <w:rPr>
                <w:b w:val="0"/>
                <w:snapToGrid/>
                <w:sz w:val="14"/>
                <w:szCs w:val="14"/>
              </w:rPr>
              <w:t xml:space="preserve"> et al., 2021</w:t>
            </w:r>
            <w:r w:rsidR="00F62719" w:rsidRPr="00483D15">
              <w:rPr>
                <w:snapToGrid/>
                <w:sz w:val="14"/>
                <w:szCs w:val="14"/>
              </w:rPr>
              <w:fldChar w:fldCharType="begin"/>
            </w:r>
            <w:r w:rsidR="001E13CB">
              <w:rPr>
                <w:b w:val="0"/>
                <w:snapToGrid/>
                <w:sz w:val="14"/>
                <w:szCs w:val="14"/>
              </w:rPr>
              <w:instrText xml:space="preserve"> ADDIN ZOTERO_ITEM CSL_CITATION {"citationID":"Tf50NRzD","properties":{"formattedCitation":"[88]","plainCitation":"[88]","noteIndex":0},"citationItems":[{"id":331,"uris":["http://zotero.org/users/local/L5HAWlIW/items/ISGUAB37"],"itemData":{"id":331,"type":"article-journal","abstract":"Respiratory failure and systemic inflammation are paramount features of severe SARS-CoV-2 disease (COVID-19). Extracorporeal membrane oxygenation (ECMO) therapy has a potential role in patients with refractory disease. An inflammatory response due to blood contact with hemofilters, functioning as a synergic inflammatory stimulus, can lead to a hyperinflammatory state, relatable to cytokine release syndromes. After the first patient succumbed to a refractory vasodilatory shock believed to be due to hyperinflammatory state, a strategy of blood purification through cytokine adsorption therapy (CAT) with CytoSorb® was designed. In this case series, the authors describe the initial experience with such strategy. CAT was employed with no direct complications and helped controlling the inflammatory state, with all patients halting vasopressor support in 72 h and biomarker levels (C-reactive protein, ferritin, and interleukin-6) showing negative trends in most patients. Analysis of inflammatory biomarkers evolution highlighted 2 biomarker profiles related to the presence or absence of superinfection at the time of CAT implementation. In this case series of severe COVID-19 patients, 3 patients died - irreversible lung fibrosis, complications of critical hypoxemia before ECMO induction and complications of systemic anticoagulation were the causes. This case series aimed to contribute to the body of evidence substantiating CAT utilization in hyperinflammatory patients, namely, COVID-19 patients requiring ECMO rescue.","container-title":"Blood purification","DOI":"10.1159/000518712","issue":"9","page":"1-7","title":"Cytokine Adsorption Therapy during Extracorporeal Membrane Oxygenation in Adult Patients with COVID-19.","volume":"51","author":[{"family":"Rodeia","given":"Simão C; Martins","suffix":"Francisca Lopes; Fortuna, Philip; Bento, Luís"}],"issued":{"date-parts":[["2021"]]}}}],"schema":"https://github.com/citation-style-language/schema/raw/master/csl-citation.json"} </w:instrText>
            </w:r>
            <w:r w:rsidR="00F62719" w:rsidRPr="00483D15">
              <w:rPr>
                <w:snapToGrid/>
                <w:sz w:val="14"/>
                <w:szCs w:val="14"/>
              </w:rPr>
              <w:fldChar w:fldCharType="separate"/>
            </w:r>
            <w:r w:rsidR="001E13CB" w:rsidRPr="001E13CB">
              <w:rPr>
                <w:sz w:val="14"/>
              </w:rPr>
              <w:t>[88]</w:t>
            </w:r>
            <w:r w:rsidR="00F62719" w:rsidRPr="00483D15">
              <w:rPr>
                <w:snapToGrid/>
                <w:sz w:val="14"/>
                <w:szCs w:val="14"/>
              </w:rPr>
              <w:fldChar w:fldCharType="end"/>
            </w:r>
          </w:p>
        </w:tc>
        <w:tc>
          <w:tcPr>
            <w:tcW w:w="1251" w:type="dxa"/>
            <w:vAlign w:val="center"/>
            <w:hideMark/>
          </w:tcPr>
          <w:p w14:paraId="37198D6B"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COVID-19</w:t>
            </w:r>
          </w:p>
        </w:tc>
        <w:tc>
          <w:tcPr>
            <w:tcW w:w="656" w:type="dxa"/>
            <w:vAlign w:val="center"/>
            <w:hideMark/>
          </w:tcPr>
          <w:p w14:paraId="6A532479"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5</w:t>
            </w:r>
          </w:p>
        </w:tc>
        <w:tc>
          <w:tcPr>
            <w:tcW w:w="637" w:type="dxa"/>
            <w:vAlign w:val="center"/>
            <w:hideMark/>
          </w:tcPr>
          <w:p w14:paraId="12AB37A9"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w:t>
            </w:r>
          </w:p>
        </w:tc>
        <w:tc>
          <w:tcPr>
            <w:tcW w:w="1088" w:type="dxa"/>
            <w:vAlign w:val="center"/>
            <w:hideMark/>
          </w:tcPr>
          <w:p w14:paraId="4D8311FB"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case series</w:t>
            </w:r>
          </w:p>
        </w:tc>
        <w:tc>
          <w:tcPr>
            <w:tcW w:w="823" w:type="dxa"/>
            <w:vAlign w:val="center"/>
            <w:hideMark/>
          </w:tcPr>
          <w:p w14:paraId="38559DE1"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proofErr w:type="spellStart"/>
            <w:r w:rsidRPr="00483D15">
              <w:rPr>
                <w:b/>
                <w:snapToGrid/>
                <w:sz w:val="14"/>
                <w:szCs w:val="14"/>
              </w:rPr>
              <w:t>CytoSorb</w:t>
            </w:r>
            <w:proofErr w:type="spellEnd"/>
          </w:p>
        </w:tc>
        <w:tc>
          <w:tcPr>
            <w:tcW w:w="963" w:type="dxa"/>
            <w:vAlign w:val="center"/>
            <w:hideMark/>
          </w:tcPr>
          <w:p w14:paraId="47969675"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2</w:t>
            </w:r>
          </w:p>
        </w:tc>
        <w:tc>
          <w:tcPr>
            <w:tcW w:w="963" w:type="dxa"/>
            <w:vAlign w:val="center"/>
            <w:hideMark/>
          </w:tcPr>
          <w:p w14:paraId="7716D88C"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each 24h</w:t>
            </w:r>
          </w:p>
        </w:tc>
        <w:tc>
          <w:tcPr>
            <w:tcW w:w="1134" w:type="dxa"/>
            <w:vAlign w:val="center"/>
            <w:hideMark/>
          </w:tcPr>
          <w:p w14:paraId="427E6F17"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safe intervention, positive rational behind the therapy, but with low quality evidence</w:t>
            </w:r>
          </w:p>
        </w:tc>
      </w:tr>
      <w:tr w:rsidR="00DF2E2C" w:rsidRPr="00483D15" w14:paraId="0CC520BC" w14:textId="77777777" w:rsidTr="00B85C82">
        <w:trPr>
          <w:cnfStyle w:val="000000100000" w:firstRow="0" w:lastRow="0" w:firstColumn="0" w:lastColumn="0" w:oddVBand="0" w:evenVBand="0" w:oddHBand="1" w:evenHBand="0" w:firstRowFirstColumn="0" w:firstRowLastColumn="0" w:lastRowFirstColumn="0" w:lastRowLastColumn="0"/>
          <w:trHeight w:val="1168"/>
          <w:jc w:val="center"/>
        </w:trPr>
        <w:tc>
          <w:tcPr>
            <w:cnfStyle w:val="001000000000" w:firstRow="0" w:lastRow="0" w:firstColumn="1" w:lastColumn="0" w:oddVBand="0" w:evenVBand="0" w:oddHBand="0" w:evenHBand="0" w:firstRowFirstColumn="0" w:firstRowLastColumn="0" w:lastRowFirstColumn="0" w:lastRowLastColumn="0"/>
            <w:tcW w:w="1002" w:type="dxa"/>
            <w:vAlign w:val="center"/>
            <w:hideMark/>
          </w:tcPr>
          <w:p w14:paraId="3A7187F9" w14:textId="74D03854" w:rsidR="00374825" w:rsidRPr="00483D15" w:rsidRDefault="00374825" w:rsidP="00483D15">
            <w:pPr>
              <w:pStyle w:val="MDPI42tablebody"/>
              <w:spacing w:line="240" w:lineRule="auto"/>
              <w:rPr>
                <w:b w:val="0"/>
                <w:snapToGrid/>
                <w:sz w:val="14"/>
                <w:szCs w:val="14"/>
              </w:rPr>
            </w:pPr>
            <w:proofErr w:type="spellStart"/>
            <w:r w:rsidRPr="00483D15">
              <w:rPr>
                <w:b w:val="0"/>
                <w:snapToGrid/>
                <w:sz w:val="14"/>
                <w:szCs w:val="14"/>
              </w:rPr>
              <w:t>Supady</w:t>
            </w:r>
            <w:proofErr w:type="spellEnd"/>
            <w:r w:rsidRPr="00483D15">
              <w:rPr>
                <w:b w:val="0"/>
                <w:snapToGrid/>
                <w:sz w:val="14"/>
                <w:szCs w:val="14"/>
              </w:rPr>
              <w:t xml:space="preserve"> et al., 2021</w:t>
            </w:r>
            <w:r w:rsidR="00F62719" w:rsidRPr="00483D15">
              <w:rPr>
                <w:snapToGrid/>
                <w:sz w:val="14"/>
                <w:szCs w:val="14"/>
              </w:rPr>
              <w:fldChar w:fldCharType="begin"/>
            </w:r>
            <w:r w:rsidR="005D39E5">
              <w:rPr>
                <w:b w:val="0"/>
                <w:snapToGrid/>
                <w:sz w:val="14"/>
                <w:szCs w:val="14"/>
              </w:rPr>
              <w:instrText xml:space="preserve"> ADDIN ZOTERO_ITEM CSL_CITATION {"citationID":"XDbc367b","properties":{"formattedCitation":"[24]","plainCitation":"[24]","noteIndex":0},"citationItems":[{"id":421,"uris":["http://zotero.org/users/local/L5HAWlIW/items/CBZA97VA"],"itemData":{"id":421,"type":"article-journal","abstract":"BACKGROUND: We sought to clarify the benefit of cytokine adsorption in patients with COVID-19 supported with venovenous extracorporeal membrane oxygenation (ECMO). METHODS: We did a single-centre, open-label, randomised, controlled trial to investigate cytokine adsorption in adult patients with severe COVID-19 pneumonia requiring ECMO. Patients with COVID-19 selected for ECMO at the Freiburg University Medical Center (Freiburg, Germany) were randomly assigned (1:1) to receive cytokine adsorption using the CytoSorb device or not. Randomisation was computer-generated, allocation was concealed by opaque, sequentially numbered sealed envelopes. The CytoSorb device was incorporated into the ECMO circuit before connection to the patient circuit, replaced every 24 h, and removed after 72 h. The primary endpoint was serum interleukin-6 (IL-6) concentration 72 h after initiation of ECMO analysed by intention to treat. Secondary endpoints included 30-day survival. The trial is registered with ClinicalTrials.gov (NCT04324528) and the German Clinical Trials Register (DRKS00021300) and is closed. FINDINGS: From March 29, 2020, to Dec 29, 2020, of 34 patients assessed for eligibility, 17 (50%) were treated with cytokine adsorption and 17 (50%) without. Median IL-6 decreased from 357·0 pg/mL to 98·6 pg/mL in patients randomly assigned to cytokine adsorption and from 289·0 pg/mL to 112·0 pg/mL in the control group after 72 h. One patient in each group died before 72 h. Adjusted mean log IL-6 concentrations after 72 h were 0·30 higher in the cytokine adsorption group (95% CI -0·70 to 1·30, p=0·54). Survival after 30 days was three (18%) of 17 with cytokine adsorption and 13 (76%) of 17 without cytokine adsorption (p=0·0016). INTERPRETATION: Early initiation of cytokine adsorption in patients with severe COVID-19 and venovenous ECMO did not reduce serum IL-6 and had a negative effect on survival. Cytokine adsorption should not be used during the first days of ECMO support in COVID-19. FUNDING: None.","container-title":"The Lancet. Respiratory medicine","DOI":"10.1016/s2213-2600(21)00177-6","issue":"7","page":"755-762","title":"Cytokine adsorption in patients with severe COVID-19 pneumonia requiring extracorporeal membrane oxygenation (CYCOV): a single centre, open-label, randomised, controlled trial.","volume":"9","author":[{"family":"Supady","given":"Alexander; Weber","suffix":"Enya; Rieder, Marina; Lother, Achim; Niklaus, Tim; Zahn, Timm; Frech, Franziska; Müller, Sissi; Kuhl, Moritz; Benk, Christoph; Maier, Sven; Trummer, Georg; Flügler, Annabelle; Krüger, Kirsten; Sekandarzad, Asieb; Stachon, Peter; Zotzmann, Viviane; Bode, Christoph; Biever, Paul; Staudacher, Dawid L.; Wengenmayer, Tobias; Graf, Erika; Duerschmied, Daniel"}],"issued":{"date-parts":[["2021"]]}}}],"schema":"https://github.com/citation-style-language/schema/raw/master/csl-citation.json"} </w:instrText>
            </w:r>
            <w:r w:rsidR="00F62719" w:rsidRPr="00483D15">
              <w:rPr>
                <w:snapToGrid/>
                <w:sz w:val="14"/>
                <w:szCs w:val="14"/>
              </w:rPr>
              <w:fldChar w:fldCharType="separate"/>
            </w:r>
            <w:r w:rsidR="005D39E5" w:rsidRPr="005D39E5">
              <w:rPr>
                <w:sz w:val="14"/>
              </w:rPr>
              <w:t>[24]</w:t>
            </w:r>
            <w:r w:rsidR="00F62719" w:rsidRPr="00483D15">
              <w:rPr>
                <w:snapToGrid/>
                <w:sz w:val="14"/>
                <w:szCs w:val="14"/>
              </w:rPr>
              <w:fldChar w:fldCharType="end"/>
            </w:r>
          </w:p>
        </w:tc>
        <w:tc>
          <w:tcPr>
            <w:tcW w:w="1251" w:type="dxa"/>
            <w:vAlign w:val="center"/>
            <w:hideMark/>
          </w:tcPr>
          <w:p w14:paraId="307A33F3"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COVID-19 pneumonia requiring ECMO</w:t>
            </w:r>
          </w:p>
        </w:tc>
        <w:tc>
          <w:tcPr>
            <w:tcW w:w="656" w:type="dxa"/>
            <w:vAlign w:val="center"/>
            <w:hideMark/>
          </w:tcPr>
          <w:p w14:paraId="5B27B89C"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17</w:t>
            </w:r>
          </w:p>
        </w:tc>
        <w:tc>
          <w:tcPr>
            <w:tcW w:w="637" w:type="dxa"/>
            <w:vAlign w:val="center"/>
            <w:hideMark/>
          </w:tcPr>
          <w:p w14:paraId="1DE20F84"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17</w:t>
            </w:r>
          </w:p>
        </w:tc>
        <w:tc>
          <w:tcPr>
            <w:tcW w:w="1088" w:type="dxa"/>
            <w:vAlign w:val="center"/>
            <w:hideMark/>
          </w:tcPr>
          <w:p w14:paraId="047A0270"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RCT</w:t>
            </w:r>
          </w:p>
        </w:tc>
        <w:tc>
          <w:tcPr>
            <w:tcW w:w="823" w:type="dxa"/>
            <w:vAlign w:val="center"/>
            <w:hideMark/>
          </w:tcPr>
          <w:p w14:paraId="57BC411A"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proofErr w:type="spellStart"/>
            <w:r w:rsidRPr="00483D15">
              <w:rPr>
                <w:b/>
                <w:snapToGrid/>
                <w:sz w:val="14"/>
                <w:szCs w:val="14"/>
              </w:rPr>
              <w:t>CytoSorb</w:t>
            </w:r>
            <w:proofErr w:type="spellEnd"/>
          </w:p>
        </w:tc>
        <w:tc>
          <w:tcPr>
            <w:tcW w:w="963" w:type="dxa"/>
            <w:vAlign w:val="center"/>
            <w:hideMark/>
          </w:tcPr>
          <w:p w14:paraId="6C1A680C"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3, 24 h each</w:t>
            </w:r>
          </w:p>
        </w:tc>
        <w:tc>
          <w:tcPr>
            <w:tcW w:w="963" w:type="dxa"/>
            <w:vAlign w:val="center"/>
            <w:hideMark/>
          </w:tcPr>
          <w:p w14:paraId="4C1679E3"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72 h</w:t>
            </w:r>
          </w:p>
        </w:tc>
        <w:tc>
          <w:tcPr>
            <w:tcW w:w="1134" w:type="dxa"/>
            <w:vAlign w:val="center"/>
            <w:hideMark/>
          </w:tcPr>
          <w:p w14:paraId="154ED81A"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 xml:space="preserve">No significant differences for IL-6 were detected between the two groups after 72 h, increased mortality in the </w:t>
            </w:r>
            <w:proofErr w:type="spellStart"/>
            <w:r w:rsidRPr="00483D15">
              <w:rPr>
                <w:b/>
                <w:snapToGrid/>
                <w:sz w:val="14"/>
                <w:szCs w:val="14"/>
              </w:rPr>
              <w:t>Cytosorb</w:t>
            </w:r>
            <w:proofErr w:type="spellEnd"/>
            <w:r w:rsidRPr="00483D15">
              <w:rPr>
                <w:b/>
                <w:snapToGrid/>
                <w:sz w:val="14"/>
                <w:szCs w:val="14"/>
              </w:rPr>
              <w:t xml:space="preserve"> group</w:t>
            </w:r>
          </w:p>
        </w:tc>
      </w:tr>
      <w:tr w:rsidR="00DF2E2C" w:rsidRPr="00483D15" w14:paraId="39599EA0" w14:textId="77777777" w:rsidTr="00B85C82">
        <w:trPr>
          <w:trHeight w:val="584"/>
          <w:jc w:val="center"/>
        </w:trPr>
        <w:tc>
          <w:tcPr>
            <w:cnfStyle w:val="001000000000" w:firstRow="0" w:lastRow="0" w:firstColumn="1" w:lastColumn="0" w:oddVBand="0" w:evenVBand="0" w:oddHBand="0" w:evenHBand="0" w:firstRowFirstColumn="0" w:firstRowLastColumn="0" w:lastRowFirstColumn="0" w:lastRowLastColumn="0"/>
            <w:tcW w:w="1002" w:type="dxa"/>
            <w:vAlign w:val="center"/>
            <w:hideMark/>
          </w:tcPr>
          <w:p w14:paraId="0185841F" w14:textId="5F7EC514" w:rsidR="00374825" w:rsidRPr="00483D15" w:rsidRDefault="00374825" w:rsidP="00483D15">
            <w:pPr>
              <w:pStyle w:val="MDPI42tablebody"/>
              <w:spacing w:line="240" w:lineRule="auto"/>
              <w:rPr>
                <w:b w:val="0"/>
                <w:snapToGrid/>
                <w:sz w:val="14"/>
                <w:szCs w:val="14"/>
              </w:rPr>
            </w:pPr>
            <w:r w:rsidRPr="00483D15">
              <w:rPr>
                <w:b w:val="0"/>
                <w:snapToGrid/>
                <w:sz w:val="14"/>
                <w:szCs w:val="14"/>
              </w:rPr>
              <w:t>Träger et al., 2016</w:t>
            </w:r>
            <w:r w:rsidR="00985A04" w:rsidRPr="00483D15">
              <w:rPr>
                <w:snapToGrid/>
                <w:sz w:val="14"/>
                <w:szCs w:val="14"/>
              </w:rPr>
              <w:fldChar w:fldCharType="begin"/>
            </w:r>
            <w:r w:rsidR="00290EC9">
              <w:rPr>
                <w:b w:val="0"/>
                <w:snapToGrid/>
                <w:sz w:val="14"/>
                <w:szCs w:val="14"/>
              </w:rPr>
              <w:instrText xml:space="preserve"> ADDIN ZOTERO_ITEM CSL_CITATION {"citationID":"UOdyfAsU","properties":{"formattedCitation":"[89]","plainCitation":"[89]","noteIndex":0},"citationItems":[{"id":121,"uris":["http://zotero.org/users/local/L5HAWlIW/items/Z3K38L5J"],"itemData":{"id":121,"type":"article-journal","abstract":"A 45-year-old male was admitted to our hospital with a small bowel obstruction due to torsion and was immediately scheduled for surgical intervention. At anesthesia induction, the patient aspirated and subsequently developed a severe SIRS with ARDS and multiple organ failure requiring the use of ECMO, CRRT, antibiotics, and low dose steroids. Due to a rapid deterioration in clinical status and a concurrent surge in inflammatory biomarkers, an extracorporeal cytokine adsorber (CytoSorb) was added to the CRRT blood circuit. The combined treatment resulted in a rapid and significant reduction in the levels of circulating inflammatory mediators. This decrease was paralleled by marked clinical stabilization of the patient including a significant improvement in hemodynamic stability and a reduced need for norepinephrine and improved respiratory function as measured by PaO\n              2\n              /FIO\n              2\n              , ventilator parameters, lung mechanics, and indirect measures of capillary leak syndrome. The patient could be discharged to a respiratory weaning unit where successful respiratory weaning could be achieved later on. We attribute the clinical improvement to the rapid control of the hyperinflammatory response and the reduction of inflammatory mediators using a combination of CytoSorb and these other therapies. CytoSorb treatment was safe and well tolerated, with no device-related adverse effects observed.","container-title":"Case Reports in Critical Care","DOI":"10.1155/2016/9852073","ISSN":"2090-6420, 2090-6439","journalAbbreviation":"Case Reports in Critical Care","language":"en","page":"1-4","source":"DOI.org (Crossref)","title":"Cytokine Reduction in the Setting of an ARDS-Associated Inflammatory Response with Multiple Organ Failure","volume":"2016","author":[{"family":"Träger","given":"Karl"},{"family":"Schütz","given":"Christian"},{"family":"Fischer","given":"Günther"},{"family":"Schröder","given":"Janpeter"},{"family":"Skrabal","given":"Christian"},{"family":"Liebold","given":"Andreas"},{"family":"Reinelt","given":"Helmut"}],"issued":{"date-parts":[["2016"]]}}}],"schema":"https://github.com/citation-style-language/schema/raw/master/csl-citation.json"} </w:instrText>
            </w:r>
            <w:r w:rsidR="00985A04" w:rsidRPr="00483D15">
              <w:rPr>
                <w:snapToGrid/>
                <w:sz w:val="14"/>
                <w:szCs w:val="14"/>
              </w:rPr>
              <w:fldChar w:fldCharType="separate"/>
            </w:r>
            <w:r w:rsidR="00290EC9" w:rsidRPr="00290EC9">
              <w:rPr>
                <w:sz w:val="14"/>
              </w:rPr>
              <w:t>[89]</w:t>
            </w:r>
            <w:r w:rsidR="00985A04" w:rsidRPr="00483D15">
              <w:rPr>
                <w:snapToGrid/>
                <w:sz w:val="14"/>
                <w:szCs w:val="14"/>
              </w:rPr>
              <w:fldChar w:fldCharType="end"/>
            </w:r>
          </w:p>
        </w:tc>
        <w:tc>
          <w:tcPr>
            <w:tcW w:w="1251" w:type="dxa"/>
            <w:vAlign w:val="center"/>
            <w:hideMark/>
          </w:tcPr>
          <w:p w14:paraId="7A2A5919"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ARDS, postoperative patient</w:t>
            </w:r>
          </w:p>
        </w:tc>
        <w:tc>
          <w:tcPr>
            <w:tcW w:w="656" w:type="dxa"/>
            <w:vAlign w:val="center"/>
            <w:hideMark/>
          </w:tcPr>
          <w:p w14:paraId="45A90AFF"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1</w:t>
            </w:r>
          </w:p>
        </w:tc>
        <w:tc>
          <w:tcPr>
            <w:tcW w:w="637" w:type="dxa"/>
            <w:vAlign w:val="center"/>
            <w:hideMark/>
          </w:tcPr>
          <w:p w14:paraId="0117A1D9"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w:t>
            </w:r>
          </w:p>
        </w:tc>
        <w:tc>
          <w:tcPr>
            <w:tcW w:w="1088" w:type="dxa"/>
            <w:vAlign w:val="center"/>
            <w:hideMark/>
          </w:tcPr>
          <w:p w14:paraId="02A8A0B5"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case report</w:t>
            </w:r>
          </w:p>
        </w:tc>
        <w:tc>
          <w:tcPr>
            <w:tcW w:w="823" w:type="dxa"/>
            <w:vAlign w:val="center"/>
            <w:hideMark/>
          </w:tcPr>
          <w:p w14:paraId="1A29ECF1"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proofErr w:type="spellStart"/>
            <w:r w:rsidRPr="00483D15">
              <w:rPr>
                <w:b/>
                <w:snapToGrid/>
                <w:sz w:val="14"/>
                <w:szCs w:val="14"/>
              </w:rPr>
              <w:t>CytoSorb</w:t>
            </w:r>
            <w:proofErr w:type="spellEnd"/>
          </w:p>
        </w:tc>
        <w:tc>
          <w:tcPr>
            <w:tcW w:w="963" w:type="dxa"/>
            <w:vAlign w:val="center"/>
            <w:hideMark/>
          </w:tcPr>
          <w:p w14:paraId="55738678"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3</w:t>
            </w:r>
          </w:p>
        </w:tc>
        <w:tc>
          <w:tcPr>
            <w:tcW w:w="963" w:type="dxa"/>
            <w:vAlign w:val="center"/>
            <w:hideMark/>
          </w:tcPr>
          <w:p w14:paraId="4BFA7B87"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85 h in total</w:t>
            </w:r>
          </w:p>
        </w:tc>
        <w:tc>
          <w:tcPr>
            <w:tcW w:w="1134" w:type="dxa"/>
            <w:vAlign w:val="center"/>
            <w:hideMark/>
          </w:tcPr>
          <w:p w14:paraId="6361C89A"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reduction of interleukin 6 and 8, reduction of NA requirements</w:t>
            </w:r>
          </w:p>
        </w:tc>
      </w:tr>
      <w:tr w:rsidR="00DF2E2C" w:rsidRPr="00483D15" w14:paraId="6A1D0781" w14:textId="77777777" w:rsidTr="00B85C82">
        <w:trPr>
          <w:cnfStyle w:val="000000100000" w:firstRow="0" w:lastRow="0" w:firstColumn="0" w:lastColumn="0" w:oddVBand="0" w:evenVBand="0" w:oddHBand="1" w:evenHBand="0" w:firstRowFirstColumn="0" w:firstRowLastColumn="0" w:lastRowFirstColumn="0" w:lastRowLastColumn="0"/>
          <w:trHeight w:val="876"/>
          <w:jc w:val="center"/>
        </w:trPr>
        <w:tc>
          <w:tcPr>
            <w:cnfStyle w:val="001000000000" w:firstRow="0" w:lastRow="0" w:firstColumn="1" w:lastColumn="0" w:oddVBand="0" w:evenVBand="0" w:oddHBand="0" w:evenHBand="0" w:firstRowFirstColumn="0" w:firstRowLastColumn="0" w:lastRowFirstColumn="0" w:lastRowLastColumn="0"/>
            <w:tcW w:w="1002" w:type="dxa"/>
            <w:vAlign w:val="center"/>
            <w:hideMark/>
          </w:tcPr>
          <w:p w14:paraId="3E27426E" w14:textId="00FC058A" w:rsidR="00374825" w:rsidRPr="00483D15" w:rsidRDefault="00374825" w:rsidP="00483D15">
            <w:pPr>
              <w:pStyle w:val="MDPI42tablebody"/>
              <w:spacing w:line="240" w:lineRule="auto"/>
              <w:rPr>
                <w:b w:val="0"/>
                <w:snapToGrid/>
                <w:sz w:val="14"/>
                <w:szCs w:val="14"/>
              </w:rPr>
            </w:pPr>
            <w:r w:rsidRPr="00483D15">
              <w:rPr>
                <w:b w:val="0"/>
                <w:snapToGrid/>
                <w:sz w:val="14"/>
                <w:szCs w:val="14"/>
              </w:rPr>
              <w:t>Wiegele and Krenn et al., 2015</w:t>
            </w:r>
            <w:r w:rsidR="008C7D11" w:rsidRPr="00483D15">
              <w:rPr>
                <w:snapToGrid/>
                <w:sz w:val="14"/>
                <w:szCs w:val="14"/>
              </w:rPr>
              <w:fldChar w:fldCharType="begin"/>
            </w:r>
            <w:r w:rsidR="004F44BE">
              <w:rPr>
                <w:b w:val="0"/>
                <w:snapToGrid/>
                <w:sz w:val="14"/>
                <w:szCs w:val="14"/>
              </w:rPr>
              <w:instrText xml:space="preserve"> ADDIN ZOTERO_ITEM CSL_CITATION {"citationID":"wFiu3agH","properties":{"formattedCitation":"[90]","plainCitation":"[90]","noteIndex":0},"citationItems":[{"id":123,"uris":["http://zotero.org/users/local/L5HAWlIW/items/DPFNXMPY"],"itemData":{"id":123,"type":"article-journal","container-title":"ASAIO Journal","DOI":"10.1097/MAT.0000000000000197","ISSN":"1058-2916","issue":"3","language":"en","page":"e14-e16","source":"DOI.org (Crossref)","title":"Cytosorb™ in a Patient with Legionella Pneumonia–Associated Rhabdomyolysis: A Case Report","title-short":"Cytosorb™ in a Patient with Legionella Pneumonia–Associated Rhabdomyolysis","volume":"61","author":[{"family":"Wiegele","given":"Marion"},{"family":"Krenn","given":"Claus G."}],"issued":{"date-parts":[["2015",5]]}}}],"schema":"https://github.com/citation-style-language/schema/raw/master/csl-citation.json"} </w:instrText>
            </w:r>
            <w:r w:rsidR="008C7D11" w:rsidRPr="00483D15">
              <w:rPr>
                <w:snapToGrid/>
                <w:sz w:val="14"/>
                <w:szCs w:val="14"/>
              </w:rPr>
              <w:fldChar w:fldCharType="separate"/>
            </w:r>
            <w:r w:rsidR="004F44BE" w:rsidRPr="004F44BE">
              <w:rPr>
                <w:sz w:val="14"/>
              </w:rPr>
              <w:t>[90]</w:t>
            </w:r>
            <w:r w:rsidR="008C7D11" w:rsidRPr="00483D15">
              <w:rPr>
                <w:snapToGrid/>
                <w:sz w:val="14"/>
                <w:szCs w:val="14"/>
              </w:rPr>
              <w:fldChar w:fldCharType="end"/>
            </w:r>
          </w:p>
        </w:tc>
        <w:tc>
          <w:tcPr>
            <w:tcW w:w="1251" w:type="dxa"/>
            <w:vAlign w:val="center"/>
            <w:hideMark/>
          </w:tcPr>
          <w:p w14:paraId="032C5BCB"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ARDS, Legionella Pneumonia associated rhabdomyolysis</w:t>
            </w:r>
          </w:p>
        </w:tc>
        <w:tc>
          <w:tcPr>
            <w:tcW w:w="656" w:type="dxa"/>
            <w:vAlign w:val="center"/>
            <w:hideMark/>
          </w:tcPr>
          <w:p w14:paraId="57CA2874"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1</w:t>
            </w:r>
          </w:p>
        </w:tc>
        <w:tc>
          <w:tcPr>
            <w:tcW w:w="637" w:type="dxa"/>
            <w:vAlign w:val="center"/>
            <w:hideMark/>
          </w:tcPr>
          <w:p w14:paraId="017EBC58"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w:t>
            </w:r>
          </w:p>
        </w:tc>
        <w:tc>
          <w:tcPr>
            <w:tcW w:w="1088" w:type="dxa"/>
            <w:vAlign w:val="center"/>
            <w:hideMark/>
          </w:tcPr>
          <w:p w14:paraId="760C2A0C"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case report</w:t>
            </w:r>
          </w:p>
        </w:tc>
        <w:tc>
          <w:tcPr>
            <w:tcW w:w="823" w:type="dxa"/>
            <w:vAlign w:val="center"/>
            <w:hideMark/>
          </w:tcPr>
          <w:p w14:paraId="4BB60366"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proofErr w:type="spellStart"/>
            <w:r w:rsidRPr="00483D15">
              <w:rPr>
                <w:b/>
                <w:snapToGrid/>
                <w:sz w:val="14"/>
                <w:szCs w:val="14"/>
              </w:rPr>
              <w:t>CytoSorb</w:t>
            </w:r>
            <w:proofErr w:type="spellEnd"/>
          </w:p>
        </w:tc>
        <w:tc>
          <w:tcPr>
            <w:tcW w:w="963" w:type="dxa"/>
            <w:vAlign w:val="center"/>
            <w:hideMark/>
          </w:tcPr>
          <w:p w14:paraId="20AD3ACC"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2</w:t>
            </w:r>
          </w:p>
        </w:tc>
        <w:tc>
          <w:tcPr>
            <w:tcW w:w="963" w:type="dxa"/>
            <w:vAlign w:val="center"/>
            <w:hideMark/>
          </w:tcPr>
          <w:p w14:paraId="30B55650"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r w:rsidRPr="00483D15">
              <w:rPr>
                <w:b/>
                <w:snapToGrid/>
                <w:sz w:val="14"/>
                <w:szCs w:val="14"/>
              </w:rPr>
              <w:t>1st: 6 h 2nd: 5h</w:t>
            </w:r>
          </w:p>
        </w:tc>
        <w:tc>
          <w:tcPr>
            <w:tcW w:w="1134" w:type="dxa"/>
            <w:vAlign w:val="center"/>
            <w:hideMark/>
          </w:tcPr>
          <w:p w14:paraId="37BD095D" w14:textId="77777777" w:rsidR="00374825" w:rsidRPr="00483D15" w:rsidRDefault="00374825" w:rsidP="00483D15">
            <w:pPr>
              <w:pStyle w:val="MDPI42tablebody"/>
              <w:spacing w:line="240" w:lineRule="auto"/>
              <w:cnfStyle w:val="000000100000" w:firstRow="0" w:lastRow="0" w:firstColumn="0" w:lastColumn="0" w:oddVBand="0" w:evenVBand="0" w:oddHBand="1" w:evenHBand="0" w:firstRowFirstColumn="0" w:firstRowLastColumn="0" w:lastRowFirstColumn="0" w:lastRowLastColumn="0"/>
              <w:rPr>
                <w:b/>
                <w:snapToGrid/>
                <w:sz w:val="14"/>
                <w:szCs w:val="14"/>
              </w:rPr>
            </w:pPr>
            <w:proofErr w:type="gramStart"/>
            <w:r w:rsidRPr="00483D15">
              <w:rPr>
                <w:b/>
                <w:snapToGrid/>
                <w:sz w:val="14"/>
                <w:szCs w:val="14"/>
              </w:rPr>
              <w:t>myoglobin</w:t>
            </w:r>
            <w:proofErr w:type="gramEnd"/>
            <w:r w:rsidRPr="00483D15">
              <w:rPr>
                <w:b/>
                <w:snapToGrid/>
                <w:sz w:val="14"/>
                <w:szCs w:val="14"/>
              </w:rPr>
              <w:t xml:space="preserve"> levels decreased, reduction of required NA dose, improvement in urinary output,</w:t>
            </w:r>
          </w:p>
        </w:tc>
      </w:tr>
      <w:tr w:rsidR="00DF2E2C" w:rsidRPr="00483D15" w14:paraId="3A8BD317" w14:textId="77777777" w:rsidTr="00B85C82">
        <w:trPr>
          <w:trHeight w:val="997"/>
          <w:jc w:val="center"/>
        </w:trPr>
        <w:tc>
          <w:tcPr>
            <w:cnfStyle w:val="001000000000" w:firstRow="0" w:lastRow="0" w:firstColumn="1" w:lastColumn="0" w:oddVBand="0" w:evenVBand="0" w:oddHBand="0" w:evenHBand="0" w:firstRowFirstColumn="0" w:firstRowLastColumn="0" w:lastRowFirstColumn="0" w:lastRowLastColumn="0"/>
            <w:tcW w:w="1002" w:type="dxa"/>
            <w:vAlign w:val="center"/>
            <w:hideMark/>
          </w:tcPr>
          <w:p w14:paraId="76B5CE14" w14:textId="7893755F" w:rsidR="00374825" w:rsidRPr="00483D15" w:rsidRDefault="00374825" w:rsidP="00483D15">
            <w:pPr>
              <w:pStyle w:val="MDPI42tablebody"/>
              <w:spacing w:line="240" w:lineRule="auto"/>
              <w:rPr>
                <w:b w:val="0"/>
                <w:snapToGrid/>
                <w:sz w:val="14"/>
                <w:szCs w:val="14"/>
              </w:rPr>
            </w:pPr>
            <w:r w:rsidRPr="00483D15">
              <w:rPr>
                <w:b w:val="0"/>
                <w:snapToGrid/>
                <w:sz w:val="14"/>
                <w:szCs w:val="14"/>
              </w:rPr>
              <w:t>Wunderlich-Sperl et al., 2021</w:t>
            </w:r>
            <w:r w:rsidR="008C7D11" w:rsidRPr="00483D15">
              <w:rPr>
                <w:snapToGrid/>
                <w:sz w:val="14"/>
                <w:szCs w:val="14"/>
              </w:rPr>
              <w:fldChar w:fldCharType="begin"/>
            </w:r>
            <w:r w:rsidR="00CE5102">
              <w:rPr>
                <w:b w:val="0"/>
                <w:snapToGrid/>
                <w:sz w:val="14"/>
                <w:szCs w:val="14"/>
              </w:rPr>
              <w:instrText xml:space="preserve"> ADDIN ZOTERO_ITEM CSL_CITATION {"citationID":"h1iGRd9Q","properties":{"formattedCitation":"[91]","plainCitation":"[91]","noteIndex":0},"citationItems":[{"id":124,"uris":["http://zotero.org/users/local/L5HAWlIW/items/PXLFIR4H"],"itemData":{"id":124,"type":"article-journal","abstract":"Introduction:\n              Severe cases of the COVID-19 are often associated with the development of a fulminant sepsis-like state with a concomitant cytokine release syndrome. Recently, immunomodulating approaches to treat such a hyperinflammation have come into focus, including the use of new extracorporeal organ support therapies such as CytoSorb hemoadsorption designed to remove cytokines and other circulating mediators from blood.\n            \n            \n              Patients and methods:\n              Thirteen critically ill COVID-19 patients with ARDS who received either ECMO therapy and/or CRRT with concomitant multiple organ failure were included. Hemoadsorption therapy was initiated once the patient had established—or was at high risk of developing—a hyperinflammatory state with marked hemodynamic instability or progressive lung failure. Levels of inflammatory markers, vasopressor requirements, oxygenation, and ventilation parameters were measured, as well as clinically relevant outcome measures.\n            \n            \n              Results:\n              Combined therapy was associated with a significant reduction in inflammatory mediators, hemodynamic stabilization with a concomitant decrease in requirements for vasoactive substances, and a pronounced improvement in lung function and the need for ventilatory support. Treatment appeared safe and well-tolerated.\n            \n            \n              Conclusions:\n              In this case series of SARS-CoV-2 infected patients admitted to the intensive care unit with ARDS, we report effective interleukin (IL)-6 removal, reduced norepinephrine requirement, and improved lung function while receiving adjuvant, extracorporeal hemoadsorption therapy in the context of a multimodal treatment approach. The presented protocol for CytoSorb initiation may be a good foundation for the development of further prospective studies in the field and may eventually also be applied to other forms of hyperinflammatory ARDS.","container-title":"The International Journal of Artificial Organs","DOI":"10.1177/03913988211030517","ISSN":"0391-3988, 1724-6040","issue":"10","journalAbbreviation":"Int J Artif Organs","language":"en","page":"694-702","source":"DOI.org (Crossref)","title":"Adjuvant hemoadsorption therapy in patients with severe COVID-19 and related organ failure requiring CRRT or ECMO therapy: A case series","title-short":"Adjuvant hemoadsorption therapy in patients with severe COVID-19 and related organ failure requiring CRRT or ECMO therapy","volume":"44","author":[{"family":"Wunderlich-Sperl","given":"Florian"},{"family":"Kautzky","given":"Sebastian"},{"family":"Pickem","given":"Christian"},{"family":"Hörmann","given":"Christoph"}],"issued":{"date-parts":[["2021",10]]}}}],"schema":"https://github.com/citation-style-language/schema/raw/master/csl-citation.json"} </w:instrText>
            </w:r>
            <w:r w:rsidR="008C7D11" w:rsidRPr="00483D15">
              <w:rPr>
                <w:snapToGrid/>
                <w:sz w:val="14"/>
                <w:szCs w:val="14"/>
              </w:rPr>
              <w:fldChar w:fldCharType="separate"/>
            </w:r>
            <w:r w:rsidR="00CE5102" w:rsidRPr="00CE5102">
              <w:rPr>
                <w:sz w:val="14"/>
              </w:rPr>
              <w:t>[91]</w:t>
            </w:r>
            <w:r w:rsidR="008C7D11" w:rsidRPr="00483D15">
              <w:rPr>
                <w:snapToGrid/>
                <w:sz w:val="14"/>
                <w:szCs w:val="14"/>
              </w:rPr>
              <w:fldChar w:fldCharType="end"/>
            </w:r>
          </w:p>
        </w:tc>
        <w:tc>
          <w:tcPr>
            <w:tcW w:w="1251" w:type="dxa"/>
            <w:vAlign w:val="center"/>
            <w:hideMark/>
          </w:tcPr>
          <w:p w14:paraId="37AFDCE3"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ARDS, COVID-19</w:t>
            </w:r>
          </w:p>
        </w:tc>
        <w:tc>
          <w:tcPr>
            <w:tcW w:w="656" w:type="dxa"/>
            <w:vAlign w:val="center"/>
            <w:hideMark/>
          </w:tcPr>
          <w:p w14:paraId="70B9C19C"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13</w:t>
            </w:r>
          </w:p>
        </w:tc>
        <w:tc>
          <w:tcPr>
            <w:tcW w:w="637" w:type="dxa"/>
            <w:vAlign w:val="center"/>
            <w:hideMark/>
          </w:tcPr>
          <w:p w14:paraId="21457303"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w:t>
            </w:r>
          </w:p>
        </w:tc>
        <w:tc>
          <w:tcPr>
            <w:tcW w:w="1088" w:type="dxa"/>
            <w:vAlign w:val="center"/>
            <w:hideMark/>
          </w:tcPr>
          <w:p w14:paraId="0059FEF4"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case series</w:t>
            </w:r>
          </w:p>
        </w:tc>
        <w:tc>
          <w:tcPr>
            <w:tcW w:w="823" w:type="dxa"/>
            <w:vAlign w:val="center"/>
            <w:hideMark/>
          </w:tcPr>
          <w:p w14:paraId="17968759"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proofErr w:type="spellStart"/>
            <w:r w:rsidRPr="00483D15">
              <w:rPr>
                <w:b/>
                <w:snapToGrid/>
                <w:sz w:val="14"/>
                <w:szCs w:val="14"/>
              </w:rPr>
              <w:t>CytoSorb</w:t>
            </w:r>
            <w:proofErr w:type="spellEnd"/>
          </w:p>
        </w:tc>
        <w:tc>
          <w:tcPr>
            <w:tcW w:w="963" w:type="dxa"/>
            <w:vAlign w:val="center"/>
            <w:hideMark/>
          </w:tcPr>
          <w:p w14:paraId="04D3175C"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Median of 4 HA treatment [range 1-15 days]</w:t>
            </w:r>
          </w:p>
        </w:tc>
        <w:tc>
          <w:tcPr>
            <w:tcW w:w="963" w:type="dxa"/>
            <w:vAlign w:val="center"/>
            <w:hideMark/>
          </w:tcPr>
          <w:p w14:paraId="3133E4D8"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 xml:space="preserve">max of 24 h, </w:t>
            </w:r>
          </w:p>
        </w:tc>
        <w:tc>
          <w:tcPr>
            <w:tcW w:w="1134" w:type="dxa"/>
            <w:vAlign w:val="center"/>
            <w:hideMark/>
          </w:tcPr>
          <w:p w14:paraId="2EDEF5E3" w14:textId="77777777" w:rsidR="00374825" w:rsidRPr="00483D15" w:rsidRDefault="00374825" w:rsidP="00483D15">
            <w:pPr>
              <w:pStyle w:val="MDPI42tablebody"/>
              <w:spacing w:line="240" w:lineRule="auto"/>
              <w:cnfStyle w:val="000000000000" w:firstRow="0" w:lastRow="0" w:firstColumn="0" w:lastColumn="0" w:oddVBand="0" w:evenVBand="0" w:oddHBand="0" w:evenHBand="0" w:firstRowFirstColumn="0" w:firstRowLastColumn="0" w:lastRowFirstColumn="0" w:lastRowLastColumn="0"/>
              <w:rPr>
                <w:b/>
                <w:snapToGrid/>
                <w:sz w:val="14"/>
                <w:szCs w:val="14"/>
              </w:rPr>
            </w:pPr>
            <w:r w:rsidRPr="00483D15">
              <w:rPr>
                <w:b/>
                <w:snapToGrid/>
                <w:sz w:val="14"/>
                <w:szCs w:val="14"/>
              </w:rPr>
              <w:t>decreased inflammatory parameters after HA, reduction of NA doses, improvement in PF ratio, reduction in PLT count</w:t>
            </w:r>
          </w:p>
        </w:tc>
      </w:tr>
    </w:tbl>
    <w:p w14:paraId="02B0C5D8" w14:textId="255C3958" w:rsidR="00D16CB6" w:rsidRPr="00193E5E" w:rsidRDefault="00374825" w:rsidP="00193E5E">
      <w:pPr>
        <w:pStyle w:val="MDPI41tablecaption"/>
        <w:ind w:left="0"/>
        <w:rPr>
          <w:sz w:val="22"/>
          <w:szCs w:val="28"/>
          <w:vertAlign w:val="subscript"/>
        </w:rPr>
      </w:pPr>
      <w:r w:rsidRPr="00193E5E">
        <w:rPr>
          <w:sz w:val="22"/>
          <w:szCs w:val="28"/>
        </w:rPr>
        <w:t xml:space="preserve">HA: </w:t>
      </w:r>
      <w:proofErr w:type="spellStart"/>
      <w:proofErr w:type="gramStart"/>
      <w:r w:rsidRPr="00193E5E">
        <w:rPr>
          <w:sz w:val="22"/>
          <w:szCs w:val="28"/>
        </w:rPr>
        <w:t>hemoadsorption</w:t>
      </w:r>
      <w:proofErr w:type="spellEnd"/>
      <w:r w:rsidRPr="00193E5E">
        <w:rPr>
          <w:sz w:val="22"/>
          <w:szCs w:val="28"/>
          <w:vertAlign w:val="subscript"/>
        </w:rPr>
        <w:t xml:space="preserve"> </w:t>
      </w:r>
      <w:r w:rsidR="00DB58BF">
        <w:rPr>
          <w:sz w:val="22"/>
          <w:szCs w:val="28"/>
          <w:vertAlign w:val="subscript"/>
        </w:rPr>
        <w:t>,</w:t>
      </w:r>
      <w:proofErr w:type="gramEnd"/>
      <w:r w:rsidR="00DB58BF">
        <w:rPr>
          <w:sz w:val="22"/>
          <w:szCs w:val="28"/>
          <w:vertAlign w:val="subscript"/>
        </w:rPr>
        <w:t xml:space="preserve"> </w:t>
      </w:r>
      <w:r w:rsidRPr="00193E5E">
        <w:rPr>
          <w:sz w:val="22"/>
          <w:szCs w:val="28"/>
        </w:rPr>
        <w:t>P/F: PaO</w:t>
      </w:r>
      <w:r w:rsidRPr="00193E5E">
        <w:rPr>
          <w:sz w:val="22"/>
          <w:szCs w:val="28"/>
          <w:vertAlign w:val="subscript"/>
        </w:rPr>
        <w:t>2</w:t>
      </w:r>
      <w:r w:rsidRPr="00193E5E">
        <w:rPr>
          <w:sz w:val="22"/>
          <w:szCs w:val="28"/>
        </w:rPr>
        <w:t>/FiO</w:t>
      </w:r>
      <w:r w:rsidRPr="00193E5E">
        <w:rPr>
          <w:sz w:val="22"/>
          <w:szCs w:val="28"/>
          <w:vertAlign w:val="subscript"/>
        </w:rPr>
        <w:t>2</w:t>
      </w:r>
    </w:p>
    <w:p w14:paraId="51A197D1" w14:textId="5A72589A" w:rsidR="00DF4DA1" w:rsidRPr="00483D15" w:rsidRDefault="004958FF" w:rsidP="0036711F">
      <w:pPr>
        <w:pStyle w:val="Heading3"/>
        <w:rPr>
          <w:lang w:val="en-US"/>
        </w:rPr>
      </w:pPr>
      <w:bookmarkStart w:id="71" w:name="_Toc211542212"/>
      <w:r w:rsidRPr="00483D15">
        <w:rPr>
          <w:lang w:val="en-US"/>
        </w:rPr>
        <w:t xml:space="preserve">8.2.3. </w:t>
      </w:r>
      <w:r w:rsidR="00F33BBE" w:rsidRPr="00483D15">
        <w:rPr>
          <w:lang w:val="en-US"/>
        </w:rPr>
        <w:t>Primary outcome</w:t>
      </w:r>
      <w:bookmarkEnd w:id="71"/>
    </w:p>
    <w:p w14:paraId="6E5163D3" w14:textId="36A7B22D" w:rsidR="000A6B1F" w:rsidRPr="00483D15" w:rsidRDefault="000A6B1F" w:rsidP="0036711F">
      <w:pPr>
        <w:rPr>
          <w:lang w:val="en-US"/>
        </w:rPr>
      </w:pPr>
      <w:r w:rsidRPr="00483D15">
        <w:rPr>
          <w:lang w:val="en-US"/>
        </w:rPr>
        <w:t>Data from eight studies</w:t>
      </w:r>
      <w:r w:rsidR="00BD573F">
        <w:rPr>
          <w:lang w:val="en-US"/>
        </w:rPr>
        <w:t xml:space="preserve"> </w:t>
      </w:r>
      <w:r w:rsidR="00BD573F" w:rsidRPr="00483D15">
        <w:rPr>
          <w:lang w:val="en-US"/>
        </w:rPr>
        <w:t>(162</w:t>
      </w:r>
      <w:r w:rsidR="00BD573F">
        <w:rPr>
          <w:lang w:val="en-US"/>
        </w:rPr>
        <w:t xml:space="preserve"> patients</w:t>
      </w:r>
      <w:r w:rsidR="00BD573F" w:rsidRPr="00483D15">
        <w:rPr>
          <w:lang w:val="en-US"/>
        </w:rPr>
        <w:t>)</w:t>
      </w:r>
      <w:r w:rsidR="00BD573F">
        <w:rPr>
          <w:lang w:val="en-US"/>
        </w:rPr>
        <w:t xml:space="preserve"> </w:t>
      </w:r>
      <w:r w:rsidR="000147F1" w:rsidRPr="00483D15">
        <w:rPr>
          <w:lang w:val="en-US"/>
        </w:rPr>
        <w:fldChar w:fldCharType="begin"/>
      </w:r>
      <w:r w:rsidR="002F37E2">
        <w:rPr>
          <w:lang w:val="en-US"/>
        </w:rPr>
        <w:instrText xml:space="preserve"> ADDIN ZOTERO_ITEM CSL_CITATION {"citationID":"0mmzW2BS","properties":{"formattedCitation":"[71,72,76,78,82,83,91,92]","plainCitation":"[71,72,76,78,82,83,91,92]","noteIndex":0},"citationItems":[{"id":327,"uris":["http://zotero.org/users/local/L5HAWlIW/items/F8WHZXRB"],"itemData":{"id":327,"type":"article-journal","abstract":"&lt;AbstractText Label=\"OBJECTIVE\" NlmCategory=\"UNASSIGNED\"&gt;Patients with severe manifestations of COVID-19 might exhibit characteristics of a sepsis-like syndrome that can progress to multiple organ failure and ultimately death. Underlying mechanism have been explored and suggest a profound dysregulation of the immune system associated with hyperinflammation, hemodynamic instability and respiratory failure. Besides standard intensive care treatment, approaches modulating the dysregulated immune response, such as CytoSorb hemoadsorption, have been used. However, data of ECMO-dependent patients in comparison to a control cohort remain scarce.&lt;/AbstractText&gt; &lt;AbstractText Label=\"METHODS\" NlmCategory=\"UNASSIGNED\"&gt;Included were 26 critically ill COVID-19 patients requiring high-flow veno-venous extracorporeal membrane oxygenation (high-flow VV ECMO) therapy due to severe acute respiratory distress syndrome (ARDS), of whom 16 were additionally treated with an extracorporeal hemoadsorption device, and compared to a control group of 10 patients. Assessed were levels of inflammatory markers, vasopressor requirements, oxygenation parameters, as well as clinically relevant outcome variables. Data were prospectively recorded and retrospectively analyzed.&lt;/AbstractText&gt; &lt;AbstractText Label=\"RESULTS\" NlmCategory=\"UNASSIGNED\"&gt;Treatment with the applied multimodal therapy approach resulted in a stabilization in hemodynamics, a control of the hyperinflammatory response as evidenced by a significant reduction in inflammatory mediators, as well as a marked improvement in lung function. No device related adverse events were observed while treatment appeared safe and feasible.&lt;/AbstractText&gt; &lt;AbstractText Label=\"CONCLUSION\" NlmCategory=\"UNASSIGNED\"&gt;Treatment of a critically ill COVID-19 ARDS patients with combined VV ECMO support and hemoadsorption therapy led to a rapid and sustained hemodynamic stabilization, a control of the uncontrolled inflammatory response and an improvement in oxygenation. Given these signals pointing toward a patient-oriented benefit of extracorporeal hemoadsorption therapy in those patients, future controlled, randomized studies should focus on the investigation of the appropriate timing and dosing of this promising treatment modality.&lt;/AbstractText&gt;","container-title":"The International journal of artificial organs","DOI":"10.1177/03913988221103287","issue":"7","page":"615-622","title":"Blood purification therapy in patients with severe COVID-19 requiring veno-venous ECMO therapy: A retrospective study.","volume":"45","author":[{"family":"Akil","given":"Ali; Ziegeler","suffix":"Stephan; Rehers, Stephanie; Ernst, Erik Christian; Fischer, Stefan"}],"issued":{"date-parts":[["2022"]]}}},{"id":127,"uris":["http://zotero.org/users/local/L5HAWlIW/items/E7E286NV"],"itemData":{"id":127,"type":"article-journal","abstract":"AIM: To investigate continuous renal replacement therapy (CRRT) with CytoSorb® cartridge for patients with life-threatening COVID-19 plus acute kidney injury (AKI), sepsis, acute respiratory distress syndrome (ARDS), and cytokine release syndrome (CRS). PATIENTS AND METHODS: Of 492 COVID-19 patients admitted to our intensive care unit (ICU), 50 had AKI necessitating CRRT (10.16%) and were enrolled in the study. Upon ICU admission, all had AKI, ARDS, septic shock, and CRS. In addition to CRRT with CytoSorb® , all received ARDS-net ventilation, prone positioning, plus empiric ribavirin, interferon beta-1b, antibiotics, hydrocortisone, and prophylactic anticoagulation. We retrospectively analyzed inflammatory biomarkers, oxygenation, organ function, duration of mechanical ventilation, ICU length-of-stay, and mortality on day-28 post-ICU admission. RESULTS: Patients were 49.64 ±8.90 years old (78% male) with body mass index of 26.70±2.76 kg/m2 . On ICU admission, mean Acute Physiology and Chronic Health Evaluation II, was 22.52±1.1. Sequential Organ Function Assessment (SOFA) score was 9.36±2.068 and the ratio of partial arterial pressure of oxygen to fractional inspired concentration of oxygen (PaO2 /FiO2 ) was 117.46±36.92. Duration of mechanical ventilation was 17.38±7.39 days, ICU length-of-stay was 20.70±8.83 days, and mortality 28 days post-ICU admission was 30%. Non-survivors had higher levels of inflammatory biomarkers, and more unresolved shock, ARDS, AKI, and pulmonary emboli (8% vs. 4 %, p 620 pg/ml) predicted in-hospital mortality for critically ill COVID-19 patients (area-under-the-curve: 0.87, 95% confidence-intervals: 0.81-0.93; p=0.001). No side effects of therapy were recorded. CONCLUSION: In this retrospective case-series, CRRT with the CytoSorb® cartridge provided a safe rescue therapy in life-threatening COVID-19 with associated AKI, ARDS, sepsis, and hyperinflammation.","container-title":"Artificial organs","DOI":"10.1111/aor.13864","issue":"5","note":"publisher: Wiley-Blackwell","page":"E101-E112","title":"Continuous renal replacement therapy with the addition of CytoSorb ® cartridge in critically ill patients with COVID-19 plus acute kidney injury: a case-series.","volume":"45","author":[{"family":"Alharthy","given":"Abdulrahman; Faqihi","suffix":"Fahad; Memish, Ziad A.; Balhamar, Abdullah; Nasim, Nasir; Shahzad, Ahmad; Tamim, Hani; Alqahtani, Saleh A.; Brindley, Peter G.; Karakitsos, Dimitrios"}],"issued":{"date-parts":[["2020"]]}}},{"id":1031,"uris":["http://zotero.org/users/local/L5HAWlIW/items/XD3S8C9H"],"itemData":{"id":1031,"type":"article-journal","abstract":"BACKGROUND AND AIM: Patients with severe coronavirus disease 2019 (COVID-19) develop a profound cytokine-mediated pro-inflammatory response. This study  reports outcomes in 10 patients with COVID-19 supported on veno-venous  extracorporeal membrane oxygenation (VV-ECMO) who were selected for the emergency  use of a hemoadsorption column integrated in the ECMO circuit. MATERIALS AND  METHODS: Pre and posttreatment, clinical data, and inflammatory markers were  assessed to determine the safety and feasibility of using this system and to  evaluate the clinical effect. RESULTS: During hemoadsorption, median levels of  interleukin (IL)-2R, IL-6, and IL-10 decreased by 54%, 86%, and 64%,  respectively. Reductions in other markers were observed for lactate dehydrogenase  (-49%), ferritin (-46%), d-dimer (-7%), C-reactive protein (-55%), procalcitonin  (-76%), and lactate (-44%). Vasoactive-inotrope scores decreased significantly  over the treatment interval (-80%). The median hospital length of stay was 53  days (36-85) and at 90-days post cannulation, survival was 90% which was similar  to a group of patients without the use of hemoadsorption. CONCLUSIONS: Addition  of hemoadsorption to VV-ECMO in patients with severe COVID-19 is feasible and  reduces measured cytokine levels. However, in this small series, the precise  impact on the overall clinical course and survival benefit still remains unknown.","container-title":"Journal of cardiac surgery","DOI":"10.1111/jocs.15785","ISSN":"1540-8191 0886-0440","issue":"11","journalAbbreviation":"J Card Surg","language":"eng","license":"© 2021 Wiley Periodicals LLC.","note":"publisher-place: United States\nPMID: 34219277 \nPMCID: PMC8447331","page":"4256-4264","title":"Hemoadsorption for management of patients on veno-venous ECMO support for severe COVID-19 acute respiratory distress syndrome.","volume":"36","author":[{"family":"Geraci","given":"Travis C."},{"family":"Kon","given":"Zachary N."},{"family":"Moazami","given":"Nader"},{"family":"Chang","given":"Stephanie H."},{"family":"Carillo","given":"Julius"},{"family":"Chen","given":"Stacey"},{"family":"Fargnoli","given":"Anthony"},{"family":"Alimi","given":"Marjan"},{"family":"Pass","given":"Harvey"},{"family":"Galloway","given":"Aubrey"},{"family":"Smith","given":"Deane E."}],"issued":{"date-parts":[["2021",11]]}}},{"id":907,"uris":["http://zotero.org/users/local/L5HAWlIW/items/KNHRHBVD"],"itemData":{"id":907,"type":"article-journal","container-title":"Therapeutic Apheresis and Dialysis","DOI":"10.1111/j.1744-9987.2012.01083.x","ISSN":"17449979","issue":"4","journalAbbreviation":"Ther Apher Dial","language":"en","page":"454-461","source":"DOI.org (Crossref)","title":"Effect on Extrapulmonary Sepsis-Induced Acute Lung Injury by Hemoperfusion With Neutral Microporous Resin Column: Effect of Hemoperfusion on Sepsis","title-short":"Effect on Extrapulmonary Sepsis-Induced Acute Lung Injury by Hemoperfusion With Neutral Microporous Resin Column","volume":"17","author":[{"family":"Huang","given":"Zhao"},{"family":"Wang","given":"Si-rong"},{"family":"Yang","given":"Zi-li"},{"family":"Liu","given":"Ji-yun"}],"issued":{"date-parts":[["2013",8]]}}},{"id":106,"uris":["http://zotero.org/users/local/L5HAWlIW/items/P8UURMI3"],"itemData":{"id":106,"type":"article-journal","abstract":"Introduction\n              Acute respiratory distress syndrome in the context of severe sepsis and septic shock represents a serious clinical disorder. A recent case series in patients with septic shock and renal failure receiving hemoadsorption treatment showed rapid hemodynamic stabilization and increased survival, particularly in pneumonia patients and in those where therapy was started early. We hypothesized that patients suffering from pneumonia and refractory acute respiratory distress syndrome to the extent that they required extracorporeal membrane oxygenation support could possibly demonstrate the most pronounced benefit from the treatment.\n            \n            \n              Methods\n              We assessed the association of hemoadsorption treatment with hemodynamics, ventilation, and outcome variables in a set of patients with septic shock, acute respiratory distress syndrome, need for veno-venous extracorporeal membrane oxygenation, and continuous renal replacement therapy.\n            \n            \n              Results\n              Key observations include a significant stabilization in hemodynamics as evidenced by a marked decrease in catecholamine need, which was paralleled by a clear reduction in hyperlactatemia. Respiratory variables improved significantly. In addition, severity of illness and overall organ dysfunction showed a considerable decrease during the course of treatment. Observed mortality was approximately half as predicted by APACHE II. Treatment with CytoSorb was safe and well tolerated with no device-related adverse events.\n            \n            \n              Discussion\n              This is the first case series reporting on outcome variables associated to CytoSorb therapy in critically ill patients with septic shock, acute respiratory distress syndrome, veno-venous extracorporeal membrane oxygenation, and continuous renal replacement therapy. Based on our observations in this small case series, CytoSorb might represent a potentially promising therapy option for patients with refractory extracorporeal membrane oxygenation-dependent acute respiratory distress syndrome in the context of septic shock.","container-title":"Journal of the Intensive Care Society","DOI":"10.1177/1751143718818992","ISSN":"1751-1437","issue":"2","journalAbbreviation":"Journal of the Intensive Care Society","language":"en","page":"183-190","source":"DOI.org (Crossref)","title":"Use of hemoadsorption in sepsis-associated ECMO-dependent severe ARDS: A case series","title-short":"Use of hemoadsorption in sepsis-associated ECMO-dependent severe ARDS","volume":"21","author":[{"family":"Kogelmann","given":"Klaus"},{"family":"Scheller","given":"Morten"},{"family":"Drüner","given":"Matthias"},{"family":"Jarczak","given":"Dominik"}],"issued":{"date-parts":[["2020",5]]}}},{"id":113,"uris":["http://zotero.org/users/local/L5HAWlIW/items/PY5YV5F5"],"itemData":{"id":113,"type":"article-journal","container-title":"Artificial Organs","DOI":"10.1111/aor.14024","ISSN":"0160-564X, 1525-1594","issue":"11","journalAbbreviation":"Artificial Organs","language":"en","page":"1338-1347","source":"DOI.org (Crossref)","title":"Blood purification with CytoSorb in critically ill COVID‐19 patients: A case series of 26 patients","title-short":"Blood purification with CytoSorb in critically ill COVID‐19 patients","volume":"45","author":[{"family":"Nassiri","given":"Amir Ahmad"},{"family":"Hakemi","given":"Monir Sadat"},{"family":"Miri","given":"Mir Mohammad"},{"family":"Shahrami","given":"Reza"},{"family":"Koomleh","given":"Azadeh Ahmadi"},{"family":"Sabaghian","given":"Tahereh"}],"issued":{"date-parts":[["2021",11]]}}},{"id":115,"uris":["http://zotero.org/users/local/L5HAWlIW/items/5EU58R2Z"],"itemData":{"id":115,"type":"article-journal","abstract":"Objective:\n              To describe the experience with CytoSorb treatment in patients with refractory acute respiratory distress syndrome (ARDS) following SARS-CoV-2 infection.\n            \n            \n              Methods:\n              Retrospective observational study on 15 patients treated in a University Hospital.\n            \n            \n              Results:\n              All patients were male, with a mean age of 55 ± 14 years; eight patients (53%) were on venovenous extracorporeal membrane oxygenation (VV ECMO) due to refractory ARDS and all (100%) under mechanical ventilation at the time of CytoSorb use. We observed reduction in the level of C reactive protein (−52%, p = 0.002), total bilirubin (−46%, p = 0.03), direct bilirubin (−50%, p = 0.02), and D-dimers (−39%, p = 0.04) during CytoSorb treatment and a trend toward reduction in lactate dehydrogenase (−20%, p = 0.2), creatine phosphokinase (−38%, p = 0.1), and fibrinogen (−15%, p = 0.07). Eight patients died (53%) and seven (47%) were discharged from the ICU, of which five had recovery of the native lung function and two were successfully bridged to lung transplantation on VV ECMO support. No difference between survivors and non-survivors was present at baseline. Patients received three CytoSorb cycles on average: mean duration of CytoSorb cycle was 17 h 21 min, but premature circuit clotting despite appropriate level of systemic anticoagulation was frequently observed.\n            \n            \n              Conclusions:\n              CytoSorb treatment was effective in improving several laboratory parameters and inflammation in our experience and no treatment-related adverse effects were recorded. In the light of the unique pathophysiology of SARS-CoV-2 infection, CytoSorb treatment is extremely promising, since it might both reduce inflammation and activation of coagulation.","container-title":"The International Journal of Artificial Organs","DOI":"10.1177/03913988211052572","ISSN":"0391-3988, 1724-6040","issue":"2","journalAbbreviation":"Int J Artif Organs","language":"en","page":"216-220","source":"DOI.org (Crossref)","title":"CytoSorb purification in critically ill SARS-CoV-2 patients","volume":"45","author":[{"family":"Pieri","given":"Marina"},{"family":"Fominskiy","given":"Evgeny"},{"family":"Nardelli","given":"Pasquale"},{"family":"Bonizzoni","given":"Matteo A"},{"family":"Scandroglio","given":"Anna M"}],"issued":{"date-parts":[["2022",2]]}}},{"id":124,"uris":["http://zotero.org/users/local/L5HAWlIW/items/PXLFIR4H"],"itemData":{"id":124,"type":"article-journal","abstract":"Introduction:\n              Severe cases of the COVID-19 are often associated with the development of a fulminant sepsis-like state with a concomitant cytokine release syndrome. Recently, immunomodulating approaches to treat such a hyperinflammation have come into focus, including the use of new extracorporeal organ support therapies such as CytoSorb hemoadsorption designed to remove cytokines and other circulating mediators from blood.\n            \n            \n              Patients and methods:\n              Thirteen critically ill COVID-19 patients with ARDS who received either ECMO therapy and/or CRRT with concomitant multiple organ failure were included. Hemoadsorption therapy was initiated once the patient had established—or was at high risk of developing—a hyperinflammatory state with marked hemodynamic instability or progressive lung failure. Levels of inflammatory markers, vasopressor requirements, oxygenation, and ventilation parameters were measured, as well as clinically relevant outcome measures.\n            \n            \n              Results:\n              Combined therapy was associated with a significant reduction in inflammatory mediators, hemodynamic stabilization with a concomitant decrease in requirements for vasoactive substances, and a pronounced improvement in lung function and the need for ventilatory support. Treatment appeared safe and well-tolerated.\n            \n            \n              Conclusions:\n              In this case series of SARS-CoV-2 infected patients admitted to the intensive care unit with ARDS, we report effective interleukin (IL)-6 removal, reduced norepinephrine requirement, and improved lung function while receiving adjuvant, extracorporeal hemoadsorption therapy in the context of a multimodal treatment approach. The presented protocol for CytoSorb initiation may be a good foundation for the development of further prospective studies in the field and may eventually also be applied to other forms of hyperinflammatory ARDS.","container-title":"The International Journal of Artificial Organs","DOI":"10.1177/03913988211030517","ISSN":"0391-3988, 1724-6040","issue":"10","journalAbbreviation":"Int J Artif Organs","language":"en","page":"694-702","source":"DOI.org (Crossref)","title":"Adjuvant hemoadsorption therapy in patients with severe COVID-19 and related organ failure requiring CRRT or ECMO therapy: A case series","title-short":"Adjuvant hemoadsorption therapy in patients with severe COVID-19 and related organ failure requiring CRRT or ECMO therapy","volume":"44","author":[{"family":"Wunderlich-Sperl","given":"Florian"},{"family":"Kautzky","given":"Sebastian"},{"family":"Pickem","given":"Christian"},{"family":"Hörmann","given":"Christoph"}],"issued":{"date-parts":[["2021",10]]}}}],"schema":"https://github.com/citation-style-language/schema/raw/master/csl-citation.json"} </w:instrText>
      </w:r>
      <w:r w:rsidR="000147F1" w:rsidRPr="00483D15">
        <w:rPr>
          <w:lang w:val="en-US"/>
        </w:rPr>
        <w:fldChar w:fldCharType="separate"/>
      </w:r>
      <w:r w:rsidR="002F37E2" w:rsidRPr="002F37E2">
        <w:rPr>
          <w:rFonts w:cs="Times New Roman"/>
        </w:rPr>
        <w:t>[71,72,76,78,82,83,91,92]</w:t>
      </w:r>
      <w:r w:rsidR="000147F1" w:rsidRPr="00483D15">
        <w:rPr>
          <w:lang w:val="en-US"/>
        </w:rPr>
        <w:fldChar w:fldCharType="end"/>
      </w:r>
      <w:r w:rsidR="00BD573F">
        <w:rPr>
          <w:lang w:val="en-US"/>
        </w:rPr>
        <w:t>,</w:t>
      </w:r>
      <w:r w:rsidRPr="00483D15">
        <w:rPr>
          <w:lang w:val="en-US"/>
        </w:rPr>
        <w:t xml:space="preserve"> evaluating the primary outcome demonstrated a statistically significant enhancement in the </w:t>
      </w:r>
      <w:proofErr w:type="spellStart"/>
      <w:r w:rsidRPr="00483D15">
        <w:rPr>
          <w:lang w:val="en-US"/>
        </w:rPr>
        <w:t>PaO</w:t>
      </w:r>
      <w:proofErr w:type="spellEnd"/>
      <w:r w:rsidRPr="00483D15">
        <w:rPr>
          <w:lang w:val="en-US"/>
        </w:rPr>
        <w:t>₂/</w:t>
      </w:r>
      <w:proofErr w:type="spellStart"/>
      <w:r w:rsidRPr="00483D15">
        <w:rPr>
          <w:lang w:val="en-US"/>
        </w:rPr>
        <w:t>FiO</w:t>
      </w:r>
      <w:proofErr w:type="spellEnd"/>
      <w:r w:rsidRPr="00483D15">
        <w:rPr>
          <w:lang w:val="en-US"/>
        </w:rPr>
        <w:t>₂ ratio following HA therapy, with a mean difference (MD) of 68.93 mmHg (95% CI: 28.79 to 109.06; I² = 96%; p = 0.005)</w:t>
      </w:r>
      <w:r w:rsidR="00FD7C7C">
        <w:rPr>
          <w:lang w:val="en-US"/>
        </w:rPr>
        <w:t xml:space="preserve"> shown on </w:t>
      </w:r>
      <w:r w:rsidR="004E094C">
        <w:rPr>
          <w:lang w:val="en-US"/>
        </w:rPr>
        <w:fldChar w:fldCharType="begin"/>
      </w:r>
      <w:r w:rsidR="004E094C">
        <w:rPr>
          <w:lang w:val="en-US"/>
        </w:rPr>
        <w:instrText xml:space="preserve"> REF _Ref204007551 \h </w:instrText>
      </w:r>
      <w:r w:rsidR="004E094C">
        <w:rPr>
          <w:lang w:val="en-US"/>
        </w:rPr>
      </w:r>
      <w:r w:rsidR="004E094C">
        <w:rPr>
          <w:lang w:val="en-US"/>
        </w:rPr>
        <w:fldChar w:fldCharType="separate"/>
      </w:r>
      <w:proofErr w:type="spellStart"/>
      <w:r w:rsidR="007F7DB3">
        <w:t>Figure</w:t>
      </w:r>
      <w:proofErr w:type="spellEnd"/>
      <w:r w:rsidR="007F7DB3">
        <w:t xml:space="preserve"> </w:t>
      </w:r>
      <w:r w:rsidR="007F7DB3">
        <w:rPr>
          <w:noProof/>
        </w:rPr>
        <w:t>18</w:t>
      </w:r>
      <w:r w:rsidR="004E094C">
        <w:rPr>
          <w:lang w:val="en-US"/>
        </w:rPr>
        <w:fldChar w:fldCharType="end"/>
      </w:r>
      <w:r w:rsidRPr="00483D15">
        <w:rPr>
          <w:lang w:val="en-US"/>
        </w:rPr>
        <w:t xml:space="preserve">. Additionally, aggregated results from </w:t>
      </w:r>
      <w:r w:rsidRPr="00483D15">
        <w:rPr>
          <w:lang w:val="en-US"/>
        </w:rPr>
        <w:lastRenderedPageBreak/>
        <w:t>seven individual case reports (n = 7) indicated a trend toward improvement; however, this did not reach statistical significance (p = 0.15).</w:t>
      </w:r>
    </w:p>
    <w:p w14:paraId="53804F1A" w14:textId="77777777" w:rsidR="00FD7C7C" w:rsidRDefault="009B6EC4" w:rsidP="00FD7C7C">
      <w:pPr>
        <w:keepNext/>
      </w:pPr>
      <w:r w:rsidRPr="00483D15">
        <w:rPr>
          <w:noProof/>
          <w:lang w:val="en-US"/>
        </w:rPr>
        <w:drawing>
          <wp:inline distT="0" distB="0" distL="0" distR="0" wp14:anchorId="0F12E9A4" wp14:editId="39168200">
            <wp:extent cx="5400040" cy="1742440"/>
            <wp:effectExtent l="19050" t="19050" r="10160" b="10160"/>
            <wp:docPr id="1749024640" name="Picture 1"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024640" name="Picture 1" descr="A screen shot of a graph&#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40" cy="1742440"/>
                    </a:xfrm>
                    <a:prstGeom prst="rect">
                      <a:avLst/>
                    </a:prstGeom>
                    <a:noFill/>
                    <a:ln>
                      <a:solidFill>
                        <a:schemeClr val="tx1"/>
                      </a:solidFill>
                    </a:ln>
                  </pic:spPr>
                </pic:pic>
              </a:graphicData>
            </a:graphic>
          </wp:inline>
        </w:drawing>
      </w:r>
    </w:p>
    <w:p w14:paraId="6AF0EDE1" w14:textId="56CE08FE" w:rsidR="009B6EC4" w:rsidRPr="00483D15" w:rsidRDefault="00FD7C7C" w:rsidP="00FD7C7C">
      <w:pPr>
        <w:pStyle w:val="Caption"/>
        <w:rPr>
          <w:color w:val="4EA72E" w:themeColor="accent6"/>
          <w:lang w:val="en-US"/>
        </w:rPr>
      </w:pPr>
      <w:bookmarkStart w:id="72" w:name="_Ref204007551"/>
      <w:bookmarkStart w:id="73" w:name="_Toc204637071"/>
      <w:proofErr w:type="spellStart"/>
      <w:r>
        <w:t>Figure</w:t>
      </w:r>
      <w:proofErr w:type="spellEnd"/>
      <w:r>
        <w:t xml:space="preserve"> </w:t>
      </w:r>
      <w:fldSimple w:instr=" SEQ Figure \* ARABIC ">
        <w:r w:rsidR="007F7DB3">
          <w:rPr>
            <w:noProof/>
          </w:rPr>
          <w:t>18</w:t>
        </w:r>
      </w:fldSimple>
      <w:bookmarkEnd w:id="72"/>
      <w:r>
        <w:t xml:space="preserve"> - </w:t>
      </w:r>
      <w:r w:rsidRPr="008E7AFF">
        <w:t xml:space="preserve">Forest </w:t>
      </w:r>
      <w:proofErr w:type="spellStart"/>
      <w:r w:rsidRPr="008E7AFF">
        <w:t>plot</w:t>
      </w:r>
      <w:proofErr w:type="spellEnd"/>
      <w:r w:rsidRPr="008E7AFF">
        <w:t xml:space="preserve"> of </w:t>
      </w:r>
      <w:proofErr w:type="spellStart"/>
      <w:r w:rsidRPr="008E7AFF">
        <w:t>the</w:t>
      </w:r>
      <w:proofErr w:type="spellEnd"/>
      <w:r w:rsidRPr="008E7AFF">
        <w:t xml:space="preserve"> </w:t>
      </w:r>
      <w:proofErr w:type="spellStart"/>
      <w:r w:rsidRPr="008E7AFF">
        <w:t>mean</w:t>
      </w:r>
      <w:proofErr w:type="spellEnd"/>
      <w:r w:rsidRPr="008E7AFF">
        <w:t xml:space="preserve"> </w:t>
      </w:r>
      <w:proofErr w:type="spellStart"/>
      <w:r w:rsidRPr="008E7AFF">
        <w:t>difference</w:t>
      </w:r>
      <w:proofErr w:type="spellEnd"/>
      <w:r w:rsidRPr="008E7AFF">
        <w:t xml:space="preserve"> </w:t>
      </w:r>
      <w:r>
        <w:t xml:space="preserve">of </w:t>
      </w:r>
      <w:r w:rsidRPr="008E7AFF">
        <w:t>PaO</w:t>
      </w:r>
      <w:r w:rsidRPr="003A5308">
        <w:rPr>
          <w:vertAlign w:val="subscript"/>
        </w:rPr>
        <w:t>2</w:t>
      </w:r>
      <w:r w:rsidRPr="008E7AFF">
        <w:t>/FiO</w:t>
      </w:r>
      <w:r w:rsidRPr="003A5308">
        <w:rPr>
          <w:vertAlign w:val="subscript"/>
        </w:rPr>
        <w:t>2</w:t>
      </w:r>
      <w:r w:rsidRPr="008E7AFF">
        <w:t xml:space="preserve"> ratio</w:t>
      </w:r>
      <w:r>
        <w:t xml:space="preserve"> </w:t>
      </w:r>
      <w:proofErr w:type="spellStart"/>
      <w:r>
        <w:t>change</w:t>
      </w:r>
      <w:proofErr w:type="spellEnd"/>
      <w:r w:rsidRPr="008E7AFF">
        <w:t xml:space="preserve"> </w:t>
      </w:r>
      <w:proofErr w:type="spellStart"/>
      <w:r w:rsidRPr="008E7AFF">
        <w:t>after</w:t>
      </w:r>
      <w:proofErr w:type="spellEnd"/>
      <w:r w:rsidRPr="008E7AFF">
        <w:t xml:space="preserve"> </w:t>
      </w:r>
      <w:proofErr w:type="spellStart"/>
      <w:r w:rsidRPr="008E7AFF">
        <w:t>hem</w:t>
      </w:r>
      <w:r w:rsidR="004A5249">
        <w:t>o</w:t>
      </w:r>
      <w:r w:rsidRPr="008E7AFF">
        <w:t>adsorption</w:t>
      </w:r>
      <w:proofErr w:type="spellEnd"/>
      <w:r w:rsidRPr="008E7AFF">
        <w:t xml:space="preserve"> </w:t>
      </w:r>
      <w:proofErr w:type="spellStart"/>
      <w:r w:rsidRPr="008E7AFF">
        <w:t>t</w:t>
      </w:r>
      <w:r>
        <w:t>herapy</w:t>
      </w:r>
      <w:bookmarkEnd w:id="73"/>
      <w:proofErr w:type="spellEnd"/>
    </w:p>
    <w:p w14:paraId="422A2C16" w14:textId="505F56DD" w:rsidR="00F33BBE" w:rsidRPr="00483D15" w:rsidRDefault="00F65E19" w:rsidP="0036711F">
      <w:pPr>
        <w:pStyle w:val="Heading3"/>
        <w:rPr>
          <w:lang w:val="en-US"/>
        </w:rPr>
      </w:pPr>
      <w:bookmarkStart w:id="74" w:name="_Toc211542213"/>
      <w:r w:rsidRPr="00483D15">
        <w:rPr>
          <w:lang w:val="en-US"/>
        </w:rPr>
        <w:t xml:space="preserve">8.2.4. </w:t>
      </w:r>
      <w:r w:rsidR="00F33BBE" w:rsidRPr="00483D15">
        <w:rPr>
          <w:lang w:val="en-US"/>
        </w:rPr>
        <w:t>Secondary outcomes</w:t>
      </w:r>
      <w:bookmarkEnd w:id="74"/>
    </w:p>
    <w:p w14:paraId="2F4EC27F" w14:textId="623F46EF" w:rsidR="008A74E7" w:rsidRPr="00483D15" w:rsidRDefault="00CF31B3" w:rsidP="0036711F">
      <w:pPr>
        <w:pStyle w:val="Heading4"/>
        <w:rPr>
          <w:lang w:val="en-US"/>
        </w:rPr>
      </w:pPr>
      <w:r w:rsidRPr="00483D15">
        <w:rPr>
          <w:lang w:val="en-US"/>
        </w:rPr>
        <w:t xml:space="preserve">8.2.4.1. </w:t>
      </w:r>
      <w:proofErr w:type="spellStart"/>
      <w:r w:rsidR="00F37CB9" w:rsidRPr="00483D15">
        <w:rPr>
          <w:lang w:val="en-US"/>
        </w:rPr>
        <w:t>Inflammarory</w:t>
      </w:r>
      <w:proofErr w:type="spellEnd"/>
      <w:r w:rsidR="00F37CB9" w:rsidRPr="00483D15">
        <w:rPr>
          <w:lang w:val="en-US"/>
        </w:rPr>
        <w:t xml:space="preserve"> Biomarkers</w:t>
      </w:r>
    </w:p>
    <w:p w14:paraId="391AD321" w14:textId="707BF33D" w:rsidR="00F37CB9" w:rsidRPr="00483D15" w:rsidRDefault="00F37CB9" w:rsidP="0036711F">
      <w:pPr>
        <w:rPr>
          <w:lang w:val="en-US"/>
        </w:rPr>
      </w:pPr>
      <w:r w:rsidRPr="00483D15">
        <w:rPr>
          <w:lang w:val="en-US"/>
        </w:rPr>
        <w:t>Seven studies</w:t>
      </w:r>
      <w:r w:rsidR="00BD573F">
        <w:rPr>
          <w:lang w:val="en-US"/>
        </w:rPr>
        <w:t xml:space="preserve"> </w:t>
      </w:r>
      <w:r w:rsidR="00A31A2B" w:rsidRPr="00483D15">
        <w:rPr>
          <w:lang w:val="en-US"/>
        </w:rPr>
        <w:fldChar w:fldCharType="begin"/>
      </w:r>
      <w:r w:rsidR="00220F66">
        <w:rPr>
          <w:lang w:val="en-US"/>
        </w:rPr>
        <w:instrText xml:space="preserve"> ADDIN ZOTERO_ITEM CSL_CITATION {"citationID":"7X8iNMwI","properties":{"formattedCitation":"[70,72,76,82,83,88,91]","plainCitation":"[70,72,76,82,83,88,91]","noteIndex":0},"citationItems":[{"id":162,"uris":["http://zotero.org/users/local/L5HAWlIW/items/ZEUANS5S"],"itemData":{"id":162,"type":"article-journal","abstract":"Background High morbidity and mortality are frequently reported in intensive care patients suffering from severe sepsis with systemic inflammation. With the development of severe respiratory failure, extracorporeal membrane oxygenation (ECMO) is often required. In this study, cytokine adsorption therapy in combination with ECMO is applied in patients with acute respiratory distress syndrome (ARDS) due to severe pneumogenic sepsis. The efficacy of this therapy is evaluated compared with a historical cohort without hemoadsorption therapy. Methods Between January and May 2018, combined high-flow venovenous ECMO and CytoSorb therapy (CytoSorb filter connected to ECMO circuit) was applied in patients (n = 13) with pneumogenic sepsis and ARDS. These patients were prospectively included (CytoSorb group). Data from patients (n = 7) with pneumogenic sepsis and ECMO therapy were retrospectively analyzed (control group). Results All patients survived in the CytoSorb group, where the 30-day mortality rate reached 57% in the control group. After CytoSorb therapy, we instantly observed a significant reduction in procalcitonin (PCT) and C-reactive protein (CRP) levels compared with the control group. Within 48 hours, the initial high doses of catecholamine could be weaned off only in the CytoSorb group. Conclusions Our results indicate that CytoSorb in combination with ECMO is an effective therapy to prevent escalation of sepsis with rapid weaning off high-dose catecholamine infusions and quick reduction in PCT and CRP levels. Optimal timing of immunomodulatory therapy and impact on ECMO-related inflammation still need to be furtherly investigated.","container-title":"The Thoracic and cardiovascular surgeon","DOI":"10.1055/s-0040-1708479","issue":"03","note":"publisher: Georg Thieme Verlag","page":"246-251","title":"Combined Use of CytoSorb and ECMO in Patients with Severe Pneumogenic Sepsis","volume":"69","author":[{"family":"Akil","given":"A; Ziegeler","suffix":"S; Reichelt, J; Rehers, Stephanie; Abdalla, Omer; Semik, Michael; Fischer, Stefan"}],"issued":{"date-parts":[["2020"]]}}},{"id":127,"uris":["http://zotero.org/users/local/L5HAWlIW/items/E7E286NV"],"itemData":{"id":127,"type":"article-journal","abstract":"AIM: To investigate continuous renal replacement therapy (CRRT) with CytoSorb® cartridge for patients with life-threatening COVID-19 plus acute kidney injury (AKI), sepsis, acute respiratory distress syndrome (ARDS), and cytokine release syndrome (CRS). PATIENTS AND METHODS: Of 492 COVID-19 patients admitted to our intensive care unit (ICU), 50 had AKI necessitating CRRT (10.16%) and were enrolled in the study. Upon ICU admission, all had AKI, ARDS, septic shock, and CRS. In addition to CRRT with CytoSorb® , all received ARDS-net ventilation, prone positioning, plus empiric ribavirin, interferon beta-1b, antibiotics, hydrocortisone, and prophylactic anticoagulation. We retrospectively analyzed inflammatory biomarkers, oxygenation, organ function, duration of mechanical ventilation, ICU length-of-stay, and mortality on day-28 post-ICU admission. RESULTS: Patients were 49.64 ±8.90 years old (78% male) with body mass index of 26.70±2.76 kg/m2 . On ICU admission, mean Acute Physiology and Chronic Health Evaluation II, was 22.52±1.1. Sequential Organ Function Assessment (SOFA) score was 9.36±2.068 and the ratio of partial arterial pressure of oxygen to fractional inspired concentration of oxygen (PaO2 /FiO2 ) was 117.46±36.92. Duration of mechanical ventilation was 17.38±7.39 days, ICU length-of-stay was 20.70±8.83 days, and mortality 28 days post-ICU admission was 30%. Non-survivors had higher levels of inflammatory biomarkers, and more unresolved shock, ARDS, AKI, and pulmonary emboli (8% vs. 4 %, p 620 pg/ml) predicted in-hospital mortality for critically ill COVID-19 patients (area-under-the-curve: 0.87, 95% confidence-intervals: 0.81-0.93; p=0.001). No side effects of therapy were recorded. CONCLUSION: In this retrospective case-series, CRRT with the CytoSorb® cartridge provided a safe rescue therapy in life-threatening COVID-19 with associated AKI, ARDS, sepsis, and hyperinflammation.","container-title":"Artificial organs","DOI":"10.1111/aor.13864","issue":"5","note":"publisher: Wiley-Blackwell","page":"E101-E112","title":"Continuous renal replacement therapy with the addition of CytoSorb ® cartridge in critically ill patients with COVID-19 plus acute kidney injury: a case-series.","volume":"45","author":[{"family":"Alharthy","given":"Abdulrahman; Faqihi","suffix":"Fahad; Memish, Ziad A.; Balhamar, Abdullah; Nasim, Nasir; Shahzad, Ahmad; Tamim, Hani; Alqahtani, Saleh A.; Brindley, Peter G.; Karakitsos, Dimitrios"}],"issued":{"date-parts":[["2020"]]}}},{"id":1031,"uris":["http://zotero.org/users/local/L5HAWlIW/items/XD3S8C9H"],"itemData":{"id":1031,"type":"article-journal","abstract":"BACKGROUND AND AIM: Patients with severe coronavirus disease 2019 (COVID-19) develop a profound cytokine-mediated pro-inflammatory response. This study  reports outcomes in 10 patients with COVID-19 supported on veno-venous  extracorporeal membrane oxygenation (VV-ECMO) who were selected for the emergency  use of a hemoadsorption column integrated in the ECMO circuit. MATERIALS AND  METHODS: Pre and posttreatment, clinical data, and inflammatory markers were  assessed to determine the safety and feasibility of using this system and to  evaluate the clinical effect. RESULTS: During hemoadsorption, median levels of  interleukin (IL)-2R, IL-6, and IL-10 decreased by 54%, 86%, and 64%,  respectively. Reductions in other markers were observed for lactate dehydrogenase  (-49%), ferritin (-46%), d-dimer (-7%), C-reactive protein (-55%), procalcitonin  (-76%), and lactate (-44%). Vasoactive-inotrope scores decreased significantly  over the treatment interval (-80%). The median hospital length of stay was 53  days (36-85) and at 90-days post cannulation, survival was 90% which was similar  to a group of patients without the use of hemoadsorption. CONCLUSIONS: Addition  of hemoadsorption to VV-ECMO in patients with severe COVID-19 is feasible and  reduces measured cytokine levels. However, in this small series, the precise  impact on the overall clinical course and survival benefit still remains unknown.","container-title":"Journal of cardiac surgery","DOI":"10.1111/jocs.15785","ISSN":"1540-8191 0886-0440","issue":"11","journalAbbreviation":"J Card Surg","language":"eng","license":"© 2021 Wiley Periodicals LLC.","note":"publisher-place: United States\nPMID: 34219277 \nPMCID: PMC8447331","page":"4256-4264","title":"Hemoadsorption for management of patients on veno-venous ECMO support for severe COVID-19 acute respiratory distress syndrome.","volume":"36","author":[{"family":"Geraci","given":"Travis C."},{"family":"Kon","given":"Zachary N."},{"family":"Moazami","given":"Nader"},{"family":"Chang","given":"Stephanie H."},{"family":"Carillo","given":"Julius"},{"family":"Chen","given":"Stacey"},{"family":"Fargnoli","given":"Anthony"},{"family":"Alimi","given":"Marjan"},{"family":"Pass","given":"Harvey"},{"family":"Galloway","given":"Aubrey"},{"family":"Smith","given":"Deane E."}],"issued":{"date-parts":[["2021",11]]}}},{"id":113,"uris":["http://zotero.org/users/local/L5HAWlIW/items/PY5YV5F5"],"itemData":{"id":113,"type":"article-journal","container-title":"Artificial Organs","DOI":"10.1111/aor.14024","ISSN":"0160-564X, 1525-1594","issue":"11","journalAbbreviation":"Artificial Organs","language":"en","page":"1338-1347","source":"DOI.org (Crossref)","title":"Blood purification with CytoSorb in critically ill COVID‐19 patients: A case series of 26 patients","title-short":"Blood purification with CytoSorb in critically ill COVID‐19 patients","volume":"45","author":[{"family":"Nassiri","given":"Amir Ahmad"},{"family":"Hakemi","given":"Monir Sadat"},{"family":"Miri","given":"Mir Mohammad"},{"family":"Shahrami","given":"Reza"},{"family":"Koomleh","given":"Azadeh Ahmadi"},{"family":"Sabaghian","given":"Tahereh"}],"issued":{"date-parts":[["2021",11]]}}},{"id":115,"uris":["http://zotero.org/users/local/L5HAWlIW/items/5EU58R2Z"],"itemData":{"id":115,"type":"article-journal","abstract":"Objective:\n              To describe the experience with CytoSorb treatment in patients with refractory acute respiratory distress syndrome (ARDS) following SARS-CoV-2 infection.\n            \n            \n              Methods:\n              Retrospective observational study on 15 patients treated in a University Hospital.\n            \n            \n              Results:\n              All patients were male, with a mean age of 55 ± 14 years; eight patients (53%) were on venovenous extracorporeal membrane oxygenation (VV ECMO) due to refractory ARDS and all (100%) under mechanical ventilation at the time of CytoSorb use. We observed reduction in the level of C reactive protein (−52%, p = 0.002), total bilirubin (−46%, p = 0.03), direct bilirubin (−50%, p = 0.02), and D-dimers (−39%, p = 0.04) during CytoSorb treatment and a trend toward reduction in lactate dehydrogenase (−20%, p = 0.2), creatine phosphokinase (−38%, p = 0.1), and fibrinogen (−15%, p = 0.07). Eight patients died (53%) and seven (47%) were discharged from the ICU, of which five had recovery of the native lung function and two were successfully bridged to lung transplantation on VV ECMO support. No difference between survivors and non-survivors was present at baseline. Patients received three CytoSorb cycles on average: mean duration of CytoSorb cycle was 17 h 21 min, but premature circuit clotting despite appropriate level of systemic anticoagulation was frequently observed.\n            \n            \n              Conclusions:\n              CytoSorb treatment was effective in improving several laboratory parameters and inflammation in our experience and no treatment-related adverse effects were recorded. In the light of the unique pathophysiology of SARS-CoV-2 infection, CytoSorb treatment is extremely promising, since it might both reduce inflammation and activation of coagulation.","container-title":"The International Journal of Artificial Organs","DOI":"10.1177/03913988211052572","ISSN":"0391-3988, 1724-6040","issue":"2","journalAbbreviation":"Int J Artif Organs","language":"en","page":"216-220","source":"DOI.org (Crossref)","title":"CytoSorb purification in critically ill SARS-CoV-2 patients","volume":"45","author":[{"family":"Pieri","given":"Marina"},{"family":"Fominskiy","given":"Evgeny"},{"family":"Nardelli","given":"Pasquale"},{"family":"Bonizzoni","given":"Matteo A"},{"family":"Scandroglio","given":"Anna M"}],"issued":{"date-parts":[["2022",2]]}}},{"id":331,"uris":["http://zotero.org/users/local/L5HAWlIW/items/ISGUAB37"],"itemData":{"id":331,"type":"article-journal","abstract":"Respiratory failure and systemic inflammation are paramount features of severe SARS-CoV-2 disease (COVID-19). Extracorporeal membrane oxygenation (ECMO) therapy has a potential role in patients with refractory disease. An inflammatory response due to blood contact with hemofilters, functioning as a synergic inflammatory stimulus, can lead to a hyperinflammatory state, relatable to cytokine release syndromes. After the first patient succumbed to a refractory vasodilatory shock believed to be due to hyperinflammatory state, a strategy of blood purification through cytokine adsorption therapy (CAT) with CytoSorb® was designed. In this case series, the authors describe the initial experience with such strategy. CAT was employed with no direct complications and helped controlling the inflammatory state, with all patients halting vasopressor support in 72 h and biomarker levels (C-reactive protein, ferritin, and interleukin-6) showing negative trends in most patients. Analysis of inflammatory biomarkers evolution highlighted 2 biomarker profiles related to the presence or absence of superinfection at the time of CAT implementation. In this case series of severe COVID-19 patients, 3 patients died - irreversible lung fibrosis, complications of critical hypoxemia before ECMO induction and complications of systemic anticoagulation were the causes. This case series aimed to contribute to the body of evidence substantiating CAT utilization in hyperinflammatory patients, namely, COVID-19 patients requiring ECMO rescue.","container-title":"Blood purification","DOI":"10.1159/000518712","issue":"9","page":"1-7","title":"Cytokine Adsorption Therapy during Extracorporeal Membrane Oxygenation in Adult Patients with COVID-19.","volume":"51","author":[{"family":"Rodeia","given":"Simão C; Martins","suffix":"Francisca Lopes; Fortuna, Philip; Bento, Luís"}],"issued":{"date-parts":[["2021"]]}}},{"id":124,"uris":["http://zotero.org/users/local/L5HAWlIW/items/PXLFIR4H"],"itemData":{"id":124,"type":"article-journal","abstract":"Introduction:\n              Severe cases of the COVID-19 are often associated with the development of a fulminant sepsis-like state with a concomitant cytokine release syndrome. Recently, immunomodulating approaches to treat such a hyperinflammation have come into focus, including the use of new extracorporeal organ support therapies such as CytoSorb hemoadsorption designed to remove cytokines and other circulating mediators from blood.\n            \n            \n              Patients and methods:\n              Thirteen critically ill COVID-19 patients with ARDS who received either ECMO therapy and/or CRRT with concomitant multiple organ failure were included. Hemoadsorption therapy was initiated once the patient had established—or was at high risk of developing—a hyperinflammatory state with marked hemodynamic instability or progressive lung failure. Levels of inflammatory markers, vasopressor requirements, oxygenation, and ventilation parameters were measured, as well as clinically relevant outcome measures.\n            \n            \n              Results:\n              Combined therapy was associated with a significant reduction in inflammatory mediators, hemodynamic stabilization with a concomitant decrease in requirements for vasoactive substances, and a pronounced improvement in lung function and the need for ventilatory support. Treatment appeared safe and well-tolerated.\n            \n            \n              Conclusions:\n              In this case series of SARS-CoV-2 infected patients admitted to the intensive care unit with ARDS, we report effective interleukin (IL)-6 removal, reduced norepinephrine requirement, and improved lung function while receiving adjuvant, extracorporeal hemoadsorption therapy in the context of a multimodal treatment approach. The presented protocol for CytoSorb initiation may be a good foundation for the development of further prospective studies in the field and may eventually also be applied to other forms of hyperinflammatory ARDS.","container-title":"The International Journal of Artificial Organs","DOI":"10.1177/03913988211030517","ISSN":"0391-3988, 1724-6040","issue":"10","journalAbbreviation":"Int J Artif Organs","language":"en","page":"694-702","source":"DOI.org (Crossref)","title":"Adjuvant hemoadsorption therapy in patients with severe COVID-19 and related organ failure requiring CRRT or ECMO therapy: A case series","title-short":"Adjuvant hemoadsorption therapy in patients with severe COVID-19 and related organ failure requiring CRRT or ECMO therapy","volume":"44","author":[{"family":"Wunderlich-Sperl","given":"Florian"},{"family":"Kautzky","given":"Sebastian"},{"family":"Pickem","given":"Christian"},{"family":"Hörmann","given":"Christoph"}],"issued":{"date-parts":[["2021",10]]}}}],"schema":"https://github.com/citation-style-language/schema/raw/master/csl-citation.json"} </w:instrText>
      </w:r>
      <w:r w:rsidR="00A31A2B" w:rsidRPr="00483D15">
        <w:rPr>
          <w:lang w:val="en-US"/>
        </w:rPr>
        <w:fldChar w:fldCharType="separate"/>
      </w:r>
      <w:r w:rsidR="00220F66" w:rsidRPr="00220F66">
        <w:rPr>
          <w:rFonts w:cs="Times New Roman"/>
        </w:rPr>
        <w:t>[70,72,76,82,83,88,91]</w:t>
      </w:r>
      <w:r w:rsidR="00A31A2B" w:rsidRPr="00483D15">
        <w:rPr>
          <w:lang w:val="en-US"/>
        </w:rPr>
        <w:fldChar w:fldCharType="end"/>
      </w:r>
      <w:r w:rsidRPr="00483D15">
        <w:rPr>
          <w:lang w:val="en-US"/>
        </w:rPr>
        <w:t xml:space="preserve"> involving COVID-19 patients (132</w:t>
      </w:r>
      <w:r w:rsidR="00042CA9">
        <w:rPr>
          <w:lang w:val="en-US"/>
        </w:rPr>
        <w:t xml:space="preserve"> patients</w:t>
      </w:r>
      <w:r w:rsidRPr="00483D15">
        <w:rPr>
          <w:lang w:val="en-US"/>
        </w:rPr>
        <w:t>) demonstrated a significant reduction in serum CRP levels following treatment, with a</w:t>
      </w:r>
      <w:r w:rsidR="001E4315">
        <w:rPr>
          <w:lang w:val="en-US"/>
        </w:rPr>
        <w:t>n</w:t>
      </w:r>
      <w:r w:rsidRPr="00483D15">
        <w:rPr>
          <w:lang w:val="en-US"/>
        </w:rPr>
        <w:t xml:space="preserve"> MD of −45.02 mg/dL (95% CI: −82.64 to −7.39; I² = 95%; p = 0.026)</w:t>
      </w:r>
      <w:r w:rsidR="00142A29">
        <w:rPr>
          <w:lang w:val="en-US"/>
        </w:rPr>
        <w:t xml:space="preserve"> shown on </w:t>
      </w:r>
      <w:r w:rsidR="002A62B3">
        <w:rPr>
          <w:lang w:val="en-US"/>
        </w:rPr>
        <w:fldChar w:fldCharType="begin"/>
      </w:r>
      <w:r w:rsidR="002A62B3">
        <w:rPr>
          <w:lang w:val="en-US"/>
        </w:rPr>
        <w:instrText xml:space="preserve"> REF _Ref204007777 \h </w:instrText>
      </w:r>
      <w:r w:rsidR="002A62B3">
        <w:rPr>
          <w:lang w:val="en-US"/>
        </w:rPr>
      </w:r>
      <w:r w:rsidR="002A62B3">
        <w:rPr>
          <w:lang w:val="en-US"/>
        </w:rPr>
        <w:fldChar w:fldCharType="separate"/>
      </w:r>
      <w:proofErr w:type="spellStart"/>
      <w:r w:rsidR="007F7DB3">
        <w:t>Figure</w:t>
      </w:r>
      <w:proofErr w:type="spellEnd"/>
      <w:r w:rsidR="007F7DB3">
        <w:t xml:space="preserve"> </w:t>
      </w:r>
      <w:r w:rsidR="007F7DB3">
        <w:rPr>
          <w:noProof/>
        </w:rPr>
        <w:t>19</w:t>
      </w:r>
      <w:r w:rsidR="002A62B3">
        <w:rPr>
          <w:lang w:val="en-US"/>
        </w:rPr>
        <w:fldChar w:fldCharType="end"/>
      </w:r>
      <w:r w:rsidRPr="00483D15">
        <w:rPr>
          <w:lang w:val="en-US"/>
        </w:rPr>
        <w:t>. Serum interleukin-6 (IL-6) levels were assessed in seven studies</w:t>
      </w:r>
      <w:r w:rsidR="00BD573F">
        <w:rPr>
          <w:lang w:val="en-US"/>
        </w:rPr>
        <w:t xml:space="preserve"> </w:t>
      </w:r>
      <w:r w:rsidR="00396F72" w:rsidRPr="00483D15">
        <w:rPr>
          <w:lang w:val="en-US"/>
        </w:rPr>
        <w:fldChar w:fldCharType="begin"/>
      </w:r>
      <w:r w:rsidR="000E3931">
        <w:rPr>
          <w:lang w:val="en-US"/>
        </w:rPr>
        <w:instrText xml:space="preserve"> ADDIN ZOTERO_ITEM CSL_CITATION {"citationID":"wkRVyAE3","properties":{"formattedCitation":"[24,70\\uc0\\u8211{}72,76,88,91]","plainCitation":"[24,70–72,76,88,91]","noteIndex":0},"citationItems":[{"id":162,"uris":["http://zotero.org/users/local/L5HAWlIW/items/ZEUANS5S"],"itemData":{"id":162,"type":"article-journal","abstract":"Background High morbidity and mortality are frequently reported in intensive care patients suffering from severe sepsis with systemic inflammation. With the development of severe respiratory failure, extracorporeal membrane oxygenation (ECMO) is often required. In this study, cytokine adsorption therapy in combination with ECMO is applied in patients with acute respiratory distress syndrome (ARDS) due to severe pneumogenic sepsis. The efficacy of this therapy is evaluated compared with a historical cohort without hemoadsorption therapy. Methods Between January and May 2018, combined high-flow venovenous ECMO and CytoSorb therapy (CytoSorb filter connected to ECMO circuit) was applied in patients (n = 13) with pneumogenic sepsis and ARDS. These patients were prospectively included (CytoSorb group). Data from patients (n = 7) with pneumogenic sepsis and ECMO therapy were retrospectively analyzed (control group). Results All patients survived in the CytoSorb group, where the 30-day mortality rate reached 57% in the control group. After CytoSorb therapy, we instantly observed a significant reduction in procalcitonin (PCT) and C-reactive protein (CRP) levels compared with the control group. Within 48 hours, the initial high doses of catecholamine could be weaned off only in the CytoSorb group. Conclusions Our results indicate that CytoSorb in combination with ECMO is an effective therapy to prevent escalation of sepsis with rapid weaning off high-dose catecholamine infusions and quick reduction in PCT and CRP levels. Optimal timing of immunomodulatory therapy and impact on ECMO-related inflammation still need to be furtherly investigated.","container-title":"The Thoracic and cardiovascular surgeon","DOI":"10.1055/s-0040-1708479","issue":"03","note":"publisher: Georg Thieme Verlag","page":"246-251","title":"Combined Use of CytoSorb and ECMO in Patients with Severe Pneumogenic Sepsis","volume":"69","author":[{"family":"Akil","given":"A; Ziegeler","suffix":"S; Reichelt, J; Rehers, Stephanie; Abdalla, Omer; Semik, Michael; Fischer, Stefan"}],"issued":{"date-parts":[["2020"]]}}},{"id":327,"uris":["http://zotero.org/users/local/L5HAWlIW/items/F8WHZXRB"],"itemData":{"id":327,"type":"article-journal","abstract":"&lt;AbstractText Label=\"OBJECTIVE\" NlmCategory=\"UNASSIGNED\"&gt;Patients with severe manifestations of COVID-19 might exhibit characteristics of a sepsis-like syndrome that can progress to multiple organ failure and ultimately death. Underlying mechanism have been explored and suggest a profound dysregulation of the immune system associated with hyperinflammation, hemodynamic instability and respiratory failure. Besides standard intensive care treatment, approaches modulating the dysregulated immune response, such as CytoSorb hemoadsorption, have been used. However, data of ECMO-dependent patients in comparison to a control cohort remain scarce.&lt;/AbstractText&gt; &lt;AbstractText Label=\"METHODS\" NlmCategory=\"UNASSIGNED\"&gt;Included were 26 critically ill COVID-19 patients requiring high-flow veno-venous extracorporeal membrane oxygenation (high-flow VV ECMO) therapy due to severe acute respiratory distress syndrome (ARDS), of whom 16 were additionally treated with an extracorporeal hemoadsorption device, and compared to a control group of 10 patients. Assessed were levels of inflammatory markers, vasopressor requirements, oxygenation parameters, as well as clinically relevant outcome variables. Data were prospectively recorded and retrospectively analyzed.&lt;/AbstractText&gt; &lt;AbstractText Label=\"RESULTS\" NlmCategory=\"UNASSIGNED\"&gt;Treatment with the applied multimodal therapy approach resulted in a stabilization in hemodynamics, a control of the hyperinflammatory response as evidenced by a significant reduction in inflammatory mediators, as well as a marked improvement in lung function. No device related adverse events were observed while treatment appeared safe and feasible.&lt;/AbstractText&gt; &lt;AbstractText Label=\"CONCLUSION\" NlmCategory=\"UNASSIGNED\"&gt;Treatment of a critically ill COVID-19 ARDS patients with combined VV ECMO support and hemoadsorption therapy led to a rapid and sustained hemodynamic stabilization, a control of the uncontrolled inflammatory response and an improvement in oxygenation. Given these signals pointing toward a patient-oriented benefit of extracorporeal hemoadsorption therapy in those patients, future controlled, randomized studies should focus on the investigation of the appropriate timing and dosing of this promising treatment modality.&lt;/AbstractText&gt;","container-title":"The International journal of artificial organs","DOI":"10.1177/03913988221103287","issue":"7","page":"615-622","title":"Blood purification therapy in patients with severe COVID-19 requiring veno-venous ECMO therapy: A retrospective study.","volume":"45","author":[{"family":"Akil","given":"Ali; Ziegeler","suffix":"Stephan; Rehers, Stephanie; Ernst, Erik Christian; Fischer, Stefan"}],"issued":{"date-parts":[["2022"]]}}},{"id":127,"uris":["http://zotero.org/users/local/L5HAWlIW/items/E7E286NV"],"itemData":{"id":127,"type":"article-journal","abstract":"AIM: To investigate continuous renal replacement therapy (CRRT) with CytoSorb® cartridge for patients with life-threatening COVID-19 plus acute kidney injury (AKI), sepsis, acute respiratory distress syndrome (ARDS), and cytokine release syndrome (CRS). PATIENTS AND METHODS: Of 492 COVID-19 patients admitted to our intensive care unit (ICU), 50 had AKI necessitating CRRT (10.16%) and were enrolled in the study. Upon ICU admission, all had AKI, ARDS, septic shock, and CRS. In addition to CRRT with CytoSorb® , all received ARDS-net ventilation, prone positioning, plus empiric ribavirin, interferon beta-1b, antibiotics, hydrocortisone, and prophylactic anticoagulation. We retrospectively analyzed inflammatory biomarkers, oxygenation, organ function, duration of mechanical ventilation, ICU length-of-stay, and mortality on day-28 post-ICU admission. RESULTS: Patients were 49.64 ±8.90 years old (78% male) with body mass index of 26.70±2.76 kg/m2 . On ICU admission, mean Acute Physiology and Chronic Health Evaluation II, was 22.52±1.1. Sequential Organ Function Assessment (SOFA) score was 9.36±2.068 and the ratio of partial arterial pressure of oxygen to fractional inspired concentration of oxygen (PaO2 /FiO2 ) was 117.46±36.92. Duration of mechanical ventilation was 17.38±7.39 days, ICU length-of-stay was 20.70±8.83 days, and mortality 28 days post-ICU admission was 30%. Non-survivors had higher levels of inflammatory biomarkers, and more unresolved shock, ARDS, AKI, and pulmonary emboli (8% vs. 4 %, p 620 pg/ml) predicted in-hospital mortality for critically ill COVID-19 patients (area-under-the-curve: 0.87, 95% confidence-intervals: 0.81-0.93; p=0.001). No side effects of therapy were recorded. CONCLUSION: In this retrospective case-series, CRRT with the CytoSorb® cartridge provided a safe rescue therapy in life-threatening COVID-19 with associated AKI, ARDS, sepsis, and hyperinflammation.","container-title":"Artificial organs","DOI":"10.1111/aor.13864","issue":"5","note":"publisher: Wiley-Blackwell","page":"E101-E112","title":"Continuous renal replacement therapy with the addition of CytoSorb ® cartridge in critically ill patients with COVID-19 plus acute kidney injury: a case-series.","volume":"45","author":[{"family":"Alharthy","given":"Abdulrahman; Faqihi","suffix":"Fahad; Memish, Ziad A.; Balhamar, Abdullah; Nasim, Nasir; Shahzad, Ahmad; Tamim, Hani; Alqahtani, Saleh A.; Brindley, Peter G.; Karakitsos, Dimitrios"}],"issued":{"date-parts":[["2020"]]}}},{"id":1031,"uris":["http://zotero.org/users/local/L5HAWlIW/items/XD3S8C9H"],"itemData":{"id":1031,"type":"article-journal","abstract":"BACKGROUND AND AIM: Patients with severe coronavirus disease 2019 (COVID-19) develop a profound cytokine-mediated pro-inflammatory response. This study  reports outcomes in 10 patients with COVID-19 supported on veno-venous  extracorporeal membrane oxygenation (VV-ECMO) who were selected for the emergency  use of a hemoadsorption column integrated in the ECMO circuit. MATERIALS AND  METHODS: Pre and posttreatment, clinical data, and inflammatory markers were  assessed to determine the safety and feasibility of using this system and to  evaluate the clinical effect. RESULTS: During hemoadsorption, median levels of  interleukin (IL)-2R, IL-6, and IL-10 decreased by 54%, 86%, and 64%,  respectively. Reductions in other markers were observed for lactate dehydrogenase  (-49%), ferritin (-46%), d-dimer (-7%), C-reactive protein (-55%), procalcitonin  (-76%), and lactate (-44%). Vasoactive-inotrope scores decreased significantly  over the treatment interval (-80%). The median hospital length of stay was 53  days (36-85) and at 90-days post cannulation, survival was 90% which was similar  to a group of patients without the use of hemoadsorption. CONCLUSIONS: Addition  of hemoadsorption to VV-ECMO in patients with severe COVID-19 is feasible and  reduces measured cytokine levels. However, in this small series, the precise  impact on the overall clinical course and survival benefit still remains unknown.","container-title":"Journal of cardiac surgery","DOI":"10.1111/jocs.15785","ISSN":"1540-8191 0886-0440","issue":"11","journalAbbreviation":"J Card Surg","language":"eng","license":"© 2021 Wiley Periodicals LLC.","note":"publisher-place: United States\nPMID: 34219277 \nPMCID: PMC8447331","page":"4256-4264","title":"Hemoadsorption for management of patients on veno-venous ECMO support for severe COVID-19 acute respiratory distress syndrome.","volume":"36","author":[{"family":"Geraci","given":"Travis C."},{"family":"Kon","given":"Zachary N."},{"family":"Moazami","given":"Nader"},{"family":"Chang","given":"Stephanie H."},{"family":"Carillo","given":"Julius"},{"family":"Chen","given":"Stacey"},{"family":"Fargnoli","given":"Anthony"},{"family":"Alimi","given":"Marjan"},{"family":"Pass","given":"Harvey"},{"family":"Galloway","given":"Aubrey"},{"family":"Smith","given":"Deane E."}],"issued":{"date-parts":[["2021",11]]}}},{"id":331,"uris":["http://zotero.org/users/local/L5HAWlIW/items/ISGUAB37"],"itemData":{"id":331,"type":"article-journal","abstract":"Respiratory failure and systemic inflammation are paramount features of severe SARS-CoV-2 disease (COVID-19). Extracorporeal membrane oxygenation (ECMO) therapy has a potential role in patients with refractory disease. An inflammatory response due to blood contact with hemofilters, functioning as a synergic inflammatory stimulus, can lead to a hyperinflammatory state, relatable to cytokine release syndromes. After the first patient succumbed to a refractory vasodilatory shock believed to be due to hyperinflammatory state, a strategy of blood purification through cytokine adsorption therapy (CAT) with CytoSorb® was designed. In this case series, the authors describe the initial experience with such strategy. CAT was employed with no direct complications and helped controlling the inflammatory state, with all patients halting vasopressor support in 72 h and biomarker levels (C-reactive protein, ferritin, and interleukin-6) showing negative trends in most patients. Analysis of inflammatory biomarkers evolution highlighted 2 biomarker profiles related to the presence or absence of superinfection at the time of CAT implementation. In this case series of severe COVID-19 patients, 3 patients died - irreversible lung fibrosis, complications of critical hypoxemia before ECMO induction and complications of systemic anticoagulation were the causes. This case series aimed to contribute to the body of evidence substantiating CAT utilization in hyperinflammatory patients, namely, COVID-19 patients requiring ECMO rescue.","container-title":"Blood purification","DOI":"10.1159/000518712","issue":"9","page":"1-7","title":"Cytokine Adsorption Therapy during Extracorporeal Membrane Oxygenation in Adult Patients with COVID-19.","volume":"51","author":[{"family":"Rodeia","given":"Simão C; Martins","suffix":"Francisca Lopes; Fortuna, Philip; Bento, Luís"}],"issued":{"date-parts":[["2021"]]}}},{"id":421,"uris":["http://zotero.org/users/local/L5HAWlIW/items/CBZA97VA"],"itemData":{"id":421,"type":"article-journal","abstract":"BACKGROUND: We sought to clarify the benefit of cytokine adsorption in patients with COVID-19 supported with venovenous extracorporeal membrane oxygenation (ECMO). METHODS: We did a single-centre, open-label, randomised, controlled trial to investigate cytokine adsorption in adult patients with severe COVID-19 pneumonia requiring ECMO. Patients with COVID-19 selected for ECMO at the Freiburg University Medical Center (Freiburg, Germany) were randomly assigned (1:1) to receive cytokine adsorption using the CytoSorb device or not. Randomisation was computer-generated, allocation was concealed by opaque, sequentially numbered sealed envelopes. The CytoSorb device was incorporated into the ECMO circuit before connection to the patient circuit, replaced every 24 h, and removed after 72 h. The primary endpoint was serum interleukin-6 (IL-6) concentration 72 h after initiation of ECMO analysed by intention to treat. Secondary endpoints included 30-day survival. The trial is registered with ClinicalTrials.gov (NCT04324528) and the German Clinical Trials Register (DRKS00021300) and is closed. FINDINGS: From March 29, 2020, to Dec 29, 2020, of 34 patients assessed for eligibility, 17 (50%) were treated with cytokine adsorption and 17 (50%) without. Median IL-6 decreased from 357·0 pg/mL to 98·6 pg/mL in patients randomly assigned to cytokine adsorption and from 289·0 pg/mL to 112·0 pg/mL in the control group after 72 h. One patient in each group died before 72 h. Adjusted mean log IL-6 concentrations after 72 h were 0·30 higher in the cytokine adsorption group (95% CI -0·70 to 1·30, p=0·54). Survival after 30 days was three (18%) of 17 with cytokine adsorption and 13 (76%) of 17 without cytokine adsorption (p=0·0016). INTERPRETATION: Early initiation of cytokine adsorption in patients with severe COVID-19 and venovenous ECMO did not reduce serum IL-6 and had a negative effect on survival. Cytokine adsorption should not be used during the first days of ECMO support in COVID-19. FUNDING: None.","container-title":"The Lancet. Respiratory medicine","DOI":"10.1016/s2213-2600(21)00177-6","issue":"7","page":"755-762","title":"Cytokine adsorption in patients with severe COVID-19 pneumonia requiring extracorporeal membrane oxygenation (CYCOV): a single centre, open-label, randomised, controlled trial.","volume":"9","author":[{"family":"Supady","given":"Alexander; Weber","suffix":"Enya; Rieder, Marina; Lother, Achim; Niklaus, Tim; Zahn, Timm; Frech, Franziska; Müller, Sissi; Kuhl, Moritz; Benk, Christoph; Maier, Sven; Trummer, Georg; Flügler, Annabelle; Krüger, Kirsten; Sekandarzad, Asieb; Stachon, Peter; Zotzmann, Viviane; Bode, Christoph; Biever, Paul; Staudacher, Dawid L.; Wengenmayer, Tobias; Graf, Erika; Duerschmied, Daniel"}],"issued":{"date-parts":[["2021"]]}}},{"id":124,"uris":["http://zotero.org/users/local/L5HAWlIW/items/PXLFIR4H"],"itemData":{"id":124,"type":"article-journal","abstract":"Introduction:\n              Severe cases of the COVID-19 are often associated with the development of a fulminant sepsis-like state with a concomitant cytokine release syndrome. Recently, immunomodulating approaches to treat such a hyperinflammation have come into focus, including the use of new extracorporeal organ support therapies such as CytoSorb hemoadsorption designed to remove cytokines and other circulating mediators from blood.\n            \n            \n              Patients and methods:\n              Thirteen critically ill COVID-19 patients with ARDS who received either ECMO therapy and/or CRRT with concomitant multiple organ failure were included. Hemoadsorption therapy was initiated once the patient had established—or was at high risk of developing—a hyperinflammatory state with marked hemodynamic instability or progressive lung failure. Levels of inflammatory markers, vasopressor requirements, oxygenation, and ventilation parameters were measured, as well as clinically relevant outcome measures.\n            \n            \n              Results:\n              Combined therapy was associated with a significant reduction in inflammatory mediators, hemodynamic stabilization with a concomitant decrease in requirements for vasoactive substances, and a pronounced improvement in lung function and the need for ventilatory support. Treatment appeared safe and well-tolerated.\n            \n            \n              Conclusions:\n              In this case series of SARS-CoV-2 infected patients admitted to the intensive care unit with ARDS, we report effective interleukin (IL)-6 removal, reduced norepinephrine requirement, and improved lung function while receiving adjuvant, extracorporeal hemoadsorption therapy in the context of a multimodal treatment approach. The presented protocol for CytoSorb initiation may be a good foundation for the development of further prospective studies in the field and may eventually also be applied to other forms of hyperinflammatory ARDS.","container-title":"The International Journal of Artificial Organs","DOI":"10.1177/03913988211030517","ISSN":"0391-3988, 1724-6040","issue":"10","journalAbbreviation":"Int J Artif Organs","language":"en","page":"694-702","source":"DOI.org (Crossref)","title":"Adjuvant hemoadsorption therapy in patients with severe COVID-19 and related organ failure requiring CRRT or ECMO therapy: A case series","title-short":"Adjuvant hemoadsorption therapy in patients with severe COVID-19 and related organ failure requiring CRRT or ECMO therapy","volume":"44","author":[{"family":"Wunderlich-Sperl","given":"Florian"},{"family":"Kautzky","given":"Sebastian"},{"family":"Pickem","given":"Christian"},{"family":"Hörmann","given":"Christoph"}],"issued":{"date-parts":[["2021",10]]}}}],"schema":"https://github.com/citation-style-language/schema/raw/master/csl-citation.json"} </w:instrText>
      </w:r>
      <w:r w:rsidR="00396F72" w:rsidRPr="00483D15">
        <w:rPr>
          <w:lang w:val="en-US"/>
        </w:rPr>
        <w:fldChar w:fldCharType="separate"/>
      </w:r>
      <w:r w:rsidR="000E3931" w:rsidRPr="000E3931">
        <w:rPr>
          <w:rFonts w:cs="Times New Roman"/>
          <w:kern w:val="0"/>
        </w:rPr>
        <w:t>[24,70–72,76,88,91]</w:t>
      </w:r>
      <w:r w:rsidR="00396F72" w:rsidRPr="00483D15">
        <w:rPr>
          <w:lang w:val="en-US"/>
        </w:rPr>
        <w:fldChar w:fldCharType="end"/>
      </w:r>
      <w:r w:rsidRPr="00483D15">
        <w:rPr>
          <w:lang w:val="en-US"/>
        </w:rPr>
        <w:t xml:space="preserve"> (124</w:t>
      </w:r>
      <w:r w:rsidR="00B870B8">
        <w:rPr>
          <w:lang w:val="en-US"/>
        </w:rPr>
        <w:t xml:space="preserve"> patients</w:t>
      </w:r>
      <w:r w:rsidRPr="00483D15">
        <w:rPr>
          <w:lang w:val="en-US"/>
        </w:rPr>
        <w:t xml:space="preserve">), revealing a non-significant trend toward reduction after HA therapy (MD = −241.17 </w:t>
      </w:r>
      <w:proofErr w:type="spellStart"/>
      <w:r w:rsidRPr="00483D15">
        <w:rPr>
          <w:lang w:val="en-US"/>
        </w:rPr>
        <w:t>pg</w:t>
      </w:r>
      <w:proofErr w:type="spellEnd"/>
      <w:r w:rsidRPr="00483D15">
        <w:rPr>
          <w:lang w:val="en-US"/>
        </w:rPr>
        <w:t>/mL; 95% CI: −570.38 to 88.05; I² = 77%; p = 0.123)</w:t>
      </w:r>
      <w:r w:rsidR="00142890">
        <w:rPr>
          <w:lang w:val="en-US"/>
        </w:rPr>
        <w:t xml:space="preserve"> presented on </w:t>
      </w:r>
      <w:r w:rsidR="00142890">
        <w:rPr>
          <w:lang w:val="en-US"/>
        </w:rPr>
        <w:fldChar w:fldCharType="begin"/>
      </w:r>
      <w:r w:rsidR="00142890">
        <w:rPr>
          <w:lang w:val="en-US"/>
        </w:rPr>
        <w:instrText xml:space="preserve"> REF _Ref204007777 \h </w:instrText>
      </w:r>
      <w:r w:rsidR="00142890">
        <w:rPr>
          <w:lang w:val="en-US"/>
        </w:rPr>
      </w:r>
      <w:r w:rsidR="00142890">
        <w:rPr>
          <w:lang w:val="en-US"/>
        </w:rPr>
        <w:fldChar w:fldCharType="separate"/>
      </w:r>
      <w:proofErr w:type="spellStart"/>
      <w:r w:rsidR="007F7DB3">
        <w:t>Figure</w:t>
      </w:r>
      <w:proofErr w:type="spellEnd"/>
      <w:r w:rsidR="007F7DB3">
        <w:t xml:space="preserve"> </w:t>
      </w:r>
      <w:r w:rsidR="007F7DB3">
        <w:rPr>
          <w:noProof/>
        </w:rPr>
        <w:t>19</w:t>
      </w:r>
      <w:r w:rsidR="00142890">
        <w:rPr>
          <w:lang w:val="en-US"/>
        </w:rPr>
        <w:fldChar w:fldCharType="end"/>
      </w:r>
      <w:r w:rsidRPr="00483D15">
        <w:rPr>
          <w:lang w:val="en-US"/>
        </w:rPr>
        <w:t xml:space="preserve">. </w:t>
      </w:r>
      <w:r w:rsidR="00142890" w:rsidRPr="00483D15">
        <w:rPr>
          <w:lang w:val="en-US"/>
        </w:rPr>
        <w:t>Th</w:t>
      </w:r>
      <w:r w:rsidR="00142890">
        <w:rPr>
          <w:lang w:val="en-US"/>
        </w:rPr>
        <w:t xml:space="preserve">ese results </w:t>
      </w:r>
      <w:r w:rsidR="00E84578">
        <w:rPr>
          <w:lang w:val="en-US"/>
        </w:rPr>
        <w:t>on CRP and IL-</w:t>
      </w:r>
      <w:r w:rsidR="00D2374E">
        <w:rPr>
          <w:lang w:val="en-US"/>
        </w:rPr>
        <w:t xml:space="preserve">6 levels </w:t>
      </w:r>
      <w:r w:rsidR="00E84578">
        <w:rPr>
          <w:lang w:val="en-US"/>
        </w:rPr>
        <w:t xml:space="preserve">were further supported </w:t>
      </w:r>
      <w:r w:rsidR="00142890" w:rsidRPr="00483D15">
        <w:rPr>
          <w:lang w:val="en-US"/>
        </w:rPr>
        <w:t xml:space="preserve">by the analysis of pooled individual case data, as illustrated in Figure </w:t>
      </w:r>
      <w:r w:rsidR="004779DC" w:rsidRPr="004779DC">
        <w:rPr>
          <w:lang w:val="en-US"/>
        </w:rPr>
        <w:fldChar w:fldCharType="begin"/>
      </w:r>
      <w:r w:rsidR="004779DC" w:rsidRPr="004779DC">
        <w:rPr>
          <w:lang w:val="en-US"/>
        </w:rPr>
        <w:instrText xml:space="preserve"> REF _Ref204008700 \h </w:instrText>
      </w:r>
      <w:r w:rsidR="004779DC">
        <w:rPr>
          <w:lang w:val="en-US"/>
        </w:rPr>
        <w:instrText xml:space="preserve"> \* MERGEFORMAT </w:instrText>
      </w:r>
      <w:r w:rsidR="004779DC" w:rsidRPr="004779DC">
        <w:rPr>
          <w:lang w:val="en-US"/>
        </w:rPr>
      </w:r>
      <w:r w:rsidR="004779DC" w:rsidRPr="004779DC">
        <w:rPr>
          <w:lang w:val="en-US"/>
        </w:rPr>
        <w:fldChar w:fldCharType="separate"/>
      </w:r>
      <w:proofErr w:type="spellStart"/>
      <w:r w:rsidR="007F7DB3">
        <w:t>Figure</w:t>
      </w:r>
      <w:proofErr w:type="spellEnd"/>
      <w:r w:rsidR="007F7DB3">
        <w:t xml:space="preserve"> </w:t>
      </w:r>
      <w:r w:rsidR="007F7DB3">
        <w:rPr>
          <w:noProof/>
        </w:rPr>
        <w:t>20</w:t>
      </w:r>
      <w:r w:rsidR="004779DC" w:rsidRPr="004779DC">
        <w:rPr>
          <w:lang w:val="en-US"/>
        </w:rPr>
        <w:fldChar w:fldCharType="end"/>
      </w:r>
      <w:r w:rsidR="00142890" w:rsidRPr="004779DC">
        <w:rPr>
          <w:lang w:val="en-US"/>
        </w:rPr>
        <w:t xml:space="preserve"> (p = 0.008</w:t>
      </w:r>
      <w:r w:rsidR="00E84578" w:rsidRPr="004779DC">
        <w:rPr>
          <w:lang w:val="en-US"/>
        </w:rPr>
        <w:t xml:space="preserve"> and p = 0.016 respectively</w:t>
      </w:r>
      <w:r w:rsidR="00142890" w:rsidRPr="004779DC">
        <w:rPr>
          <w:lang w:val="en-US"/>
        </w:rPr>
        <w:t>).</w:t>
      </w:r>
      <w:r w:rsidR="00142890" w:rsidRPr="00483D15">
        <w:rPr>
          <w:lang w:val="en-US"/>
        </w:rPr>
        <w:t xml:space="preserve"> </w:t>
      </w:r>
    </w:p>
    <w:p w14:paraId="0DDA9D18" w14:textId="77777777" w:rsidR="0061707A" w:rsidRDefault="003B14C3" w:rsidP="0061707A">
      <w:pPr>
        <w:keepNext/>
      </w:pPr>
      <w:r w:rsidRPr="00483D15">
        <w:rPr>
          <w:noProof/>
          <w:lang w:val="en-US"/>
        </w:rPr>
        <w:lastRenderedPageBreak/>
        <w:drawing>
          <wp:inline distT="0" distB="0" distL="0" distR="0" wp14:anchorId="7E50A8DA" wp14:editId="3557A3C7">
            <wp:extent cx="5400040" cy="3929380"/>
            <wp:effectExtent l="19050" t="19050" r="10160" b="13970"/>
            <wp:docPr id="145949484" name="Picture 2"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49484" name="Picture 2" descr="A screenshot of a computer screen&#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40" cy="3929380"/>
                    </a:xfrm>
                    <a:prstGeom prst="rect">
                      <a:avLst/>
                    </a:prstGeom>
                    <a:noFill/>
                    <a:ln>
                      <a:solidFill>
                        <a:schemeClr val="tx1"/>
                      </a:solidFill>
                    </a:ln>
                  </pic:spPr>
                </pic:pic>
              </a:graphicData>
            </a:graphic>
          </wp:inline>
        </w:drawing>
      </w:r>
    </w:p>
    <w:p w14:paraId="0DEDFA79" w14:textId="15251E57" w:rsidR="003B14C3" w:rsidRDefault="0061707A" w:rsidP="0061707A">
      <w:pPr>
        <w:pStyle w:val="Caption"/>
      </w:pPr>
      <w:bookmarkStart w:id="75" w:name="_Ref204007777"/>
      <w:bookmarkStart w:id="76" w:name="_Toc204637072"/>
      <w:proofErr w:type="spellStart"/>
      <w:r>
        <w:t>Figure</w:t>
      </w:r>
      <w:proofErr w:type="spellEnd"/>
      <w:r>
        <w:t xml:space="preserve"> </w:t>
      </w:r>
      <w:fldSimple w:instr=" SEQ Figure \* ARABIC ">
        <w:r w:rsidR="007F7DB3">
          <w:rPr>
            <w:noProof/>
          </w:rPr>
          <w:t>19</w:t>
        </w:r>
      </w:fldSimple>
      <w:bookmarkEnd w:id="75"/>
      <w:r>
        <w:t xml:space="preserve"> - </w:t>
      </w:r>
      <w:r w:rsidRPr="00306369">
        <w:t xml:space="preserve">Forest </w:t>
      </w:r>
      <w:proofErr w:type="spellStart"/>
      <w:r w:rsidRPr="00306369">
        <w:t>plots</w:t>
      </w:r>
      <w:proofErr w:type="spellEnd"/>
      <w:r w:rsidRPr="00306369">
        <w:t xml:space="preserve"> of </w:t>
      </w:r>
      <w:proofErr w:type="spellStart"/>
      <w:r w:rsidRPr="00306369">
        <w:t>the</w:t>
      </w:r>
      <w:proofErr w:type="spellEnd"/>
      <w:r w:rsidRPr="00306369">
        <w:t xml:space="preserve"> </w:t>
      </w:r>
      <w:proofErr w:type="spellStart"/>
      <w:r w:rsidRPr="00306369">
        <w:t>difference</w:t>
      </w:r>
      <w:proofErr w:type="spellEnd"/>
      <w:r w:rsidRPr="00306369">
        <w:t xml:space="preserve"> of </w:t>
      </w:r>
      <w:proofErr w:type="spellStart"/>
      <w:r w:rsidRPr="00306369">
        <w:t>mean</w:t>
      </w:r>
      <w:proofErr w:type="spellEnd"/>
      <w:r w:rsidRPr="00306369">
        <w:t xml:space="preserve"> </w:t>
      </w:r>
      <w:proofErr w:type="spellStart"/>
      <w:r w:rsidRPr="00306369">
        <w:t>differences</w:t>
      </w:r>
      <w:proofErr w:type="spellEnd"/>
      <w:r w:rsidRPr="00306369">
        <w:t xml:space="preserve"> of Se CRP (A) and Se IL-6 (B) </w:t>
      </w:r>
      <w:proofErr w:type="spellStart"/>
      <w:r w:rsidRPr="00306369">
        <w:t>after</w:t>
      </w:r>
      <w:proofErr w:type="spellEnd"/>
      <w:r w:rsidRPr="00306369">
        <w:t xml:space="preserve"> </w:t>
      </w:r>
      <w:proofErr w:type="spellStart"/>
      <w:r w:rsidRPr="00306369">
        <w:t>hemoadsorption</w:t>
      </w:r>
      <w:proofErr w:type="spellEnd"/>
      <w:r w:rsidRPr="00306369">
        <w:t xml:space="preserve"> </w:t>
      </w:r>
      <w:proofErr w:type="spellStart"/>
      <w:r w:rsidRPr="00306369">
        <w:t>treatment</w:t>
      </w:r>
      <w:proofErr w:type="spellEnd"/>
      <w:r w:rsidRPr="00306369">
        <w:t>.</w:t>
      </w:r>
      <w:bookmarkEnd w:id="76"/>
    </w:p>
    <w:p w14:paraId="766D2014" w14:textId="77777777" w:rsidR="004779DC" w:rsidRDefault="0024040A" w:rsidP="004779DC">
      <w:pPr>
        <w:keepNext/>
      </w:pPr>
      <w:r w:rsidRPr="0024040A">
        <w:rPr>
          <w:noProof/>
        </w:rPr>
        <w:drawing>
          <wp:inline distT="0" distB="0" distL="0" distR="0" wp14:anchorId="77DB6D8D" wp14:editId="4CC4EFDF">
            <wp:extent cx="5400040" cy="2125345"/>
            <wp:effectExtent l="19050" t="19050" r="10160" b="27305"/>
            <wp:docPr id="769633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633794" name=""/>
                    <pic:cNvPicPr/>
                  </pic:nvPicPr>
                  <pic:blipFill>
                    <a:blip r:embed="rId30"/>
                    <a:stretch>
                      <a:fillRect/>
                    </a:stretch>
                  </pic:blipFill>
                  <pic:spPr>
                    <a:xfrm>
                      <a:off x="0" y="0"/>
                      <a:ext cx="5400040" cy="2125345"/>
                    </a:xfrm>
                    <a:prstGeom prst="rect">
                      <a:avLst/>
                    </a:prstGeom>
                    <a:ln>
                      <a:solidFill>
                        <a:schemeClr val="tx1"/>
                      </a:solidFill>
                    </a:ln>
                  </pic:spPr>
                </pic:pic>
              </a:graphicData>
            </a:graphic>
          </wp:inline>
        </w:drawing>
      </w:r>
    </w:p>
    <w:p w14:paraId="52455C45" w14:textId="21EF8242" w:rsidR="0024040A" w:rsidRPr="0024040A" w:rsidRDefault="004779DC" w:rsidP="004779DC">
      <w:pPr>
        <w:pStyle w:val="Caption"/>
      </w:pPr>
      <w:bookmarkStart w:id="77" w:name="_Ref204008700"/>
      <w:bookmarkStart w:id="78" w:name="_Toc204637073"/>
      <w:proofErr w:type="spellStart"/>
      <w:r>
        <w:t>Figure</w:t>
      </w:r>
      <w:proofErr w:type="spellEnd"/>
      <w:r>
        <w:t xml:space="preserve"> </w:t>
      </w:r>
      <w:fldSimple w:instr=" SEQ Figure \* ARABIC ">
        <w:r w:rsidR="007F7DB3">
          <w:rPr>
            <w:noProof/>
          </w:rPr>
          <w:t>20</w:t>
        </w:r>
      </w:fldSimple>
      <w:bookmarkEnd w:id="77"/>
      <w:r>
        <w:t xml:space="preserve"> - </w:t>
      </w:r>
      <w:proofErr w:type="spellStart"/>
      <w:r w:rsidRPr="00B91AE2">
        <w:t>Pooled</w:t>
      </w:r>
      <w:proofErr w:type="spellEnd"/>
      <w:r w:rsidRPr="00B91AE2">
        <w:t xml:space="preserve"> </w:t>
      </w:r>
      <w:proofErr w:type="spellStart"/>
      <w:r w:rsidRPr="00B91AE2">
        <w:t>data</w:t>
      </w:r>
      <w:proofErr w:type="spellEnd"/>
      <w:r w:rsidRPr="00B91AE2">
        <w:t xml:space="preserve"> </w:t>
      </w:r>
      <w:proofErr w:type="spellStart"/>
      <w:r w:rsidRPr="00B91AE2">
        <w:t>from</w:t>
      </w:r>
      <w:proofErr w:type="spellEnd"/>
      <w:r w:rsidRPr="00B91AE2">
        <w:t xml:space="preserve"> </w:t>
      </w:r>
      <w:proofErr w:type="spellStart"/>
      <w:r w:rsidRPr="00B91AE2">
        <w:t>case</w:t>
      </w:r>
      <w:proofErr w:type="spellEnd"/>
      <w:r w:rsidRPr="00B91AE2">
        <w:t xml:space="preserve"> </w:t>
      </w:r>
      <w:proofErr w:type="spellStart"/>
      <w:r w:rsidRPr="00B91AE2">
        <w:t>reports</w:t>
      </w:r>
      <w:proofErr w:type="spellEnd"/>
      <w:r w:rsidRPr="00B91AE2">
        <w:t xml:space="preserve"> showing CRP</w:t>
      </w:r>
      <w:r>
        <w:t xml:space="preserve"> and IL-6</w:t>
      </w:r>
      <w:r w:rsidRPr="00B91AE2">
        <w:t xml:space="preserve"> </w:t>
      </w:r>
      <w:proofErr w:type="spellStart"/>
      <w:r w:rsidRPr="00B91AE2">
        <w:t>levels</w:t>
      </w:r>
      <w:proofErr w:type="spellEnd"/>
      <w:r w:rsidRPr="00B91AE2">
        <w:t xml:space="preserve"> (mg/l) </w:t>
      </w:r>
      <w:proofErr w:type="spellStart"/>
      <w:r w:rsidRPr="00B91AE2">
        <w:t>before</w:t>
      </w:r>
      <w:proofErr w:type="spellEnd"/>
      <w:r w:rsidRPr="00B91AE2">
        <w:t xml:space="preserve"> and </w:t>
      </w:r>
      <w:proofErr w:type="spellStart"/>
      <w:r w:rsidRPr="00B91AE2">
        <w:t>after</w:t>
      </w:r>
      <w:proofErr w:type="spellEnd"/>
      <w:r w:rsidRPr="00B91AE2">
        <w:t xml:space="preserve"> </w:t>
      </w:r>
      <w:proofErr w:type="spellStart"/>
      <w:r w:rsidRPr="00B91AE2">
        <w:t>the</w:t>
      </w:r>
      <w:proofErr w:type="spellEnd"/>
      <w:r w:rsidRPr="00B91AE2">
        <w:t xml:space="preserve"> </w:t>
      </w:r>
      <w:proofErr w:type="spellStart"/>
      <w:r w:rsidRPr="00B91AE2">
        <w:t>treatment</w:t>
      </w:r>
      <w:proofErr w:type="spellEnd"/>
      <w:r>
        <w:t>.</w:t>
      </w:r>
      <w:bookmarkEnd w:id="78"/>
    </w:p>
    <w:p w14:paraId="5A5785D0" w14:textId="0824DFD5" w:rsidR="00F37CB9" w:rsidRPr="00483D15" w:rsidRDefault="00CF31B3" w:rsidP="0036711F">
      <w:pPr>
        <w:pStyle w:val="Heading4"/>
        <w:rPr>
          <w:lang w:val="en-US"/>
        </w:rPr>
      </w:pPr>
      <w:r w:rsidRPr="00483D15">
        <w:rPr>
          <w:lang w:val="en-US"/>
        </w:rPr>
        <w:t xml:space="preserve">8.2.4.2. </w:t>
      </w:r>
      <w:r w:rsidR="00F37CB9" w:rsidRPr="00483D15">
        <w:rPr>
          <w:lang w:val="en-US"/>
        </w:rPr>
        <w:t>Effects on vasopressor requirement and lactate</w:t>
      </w:r>
    </w:p>
    <w:p w14:paraId="09AC9AE7" w14:textId="7F6E842E" w:rsidR="00D834A6" w:rsidRPr="00483D15" w:rsidRDefault="00D834A6" w:rsidP="0036711F">
      <w:pPr>
        <w:rPr>
          <w:lang w:val="en-US"/>
        </w:rPr>
      </w:pPr>
      <w:r w:rsidRPr="00483D15">
        <w:rPr>
          <w:lang w:val="en-US"/>
        </w:rPr>
        <w:t>Data from seven studies</w:t>
      </w:r>
      <w:r w:rsidR="00BD573F">
        <w:rPr>
          <w:lang w:val="en-US"/>
        </w:rPr>
        <w:t xml:space="preserve"> </w:t>
      </w:r>
      <w:r w:rsidR="00AD7C9E" w:rsidRPr="00483D15">
        <w:rPr>
          <w:lang w:val="en-US"/>
        </w:rPr>
        <w:fldChar w:fldCharType="begin"/>
      </w:r>
      <w:r w:rsidR="000E3931">
        <w:rPr>
          <w:lang w:val="en-US"/>
        </w:rPr>
        <w:instrText xml:space="preserve"> ADDIN ZOTERO_ITEM CSL_CITATION {"citationID":"d2LdTpob","properties":{"formattedCitation":"[24,70\\uc0\\u8211{}72,82,91,92]","plainCitation":"[24,70–72,82,91,92]","noteIndex":0},"citationItems":[{"id":162,"uris":["http://zotero.org/users/local/L5HAWlIW/items/ZEUANS5S"],"itemData":{"id":162,"type":"article-journal","abstract":"Background High morbidity and mortality are frequently reported in intensive care patients suffering from severe sepsis with systemic inflammation. With the development of severe respiratory failure, extracorporeal membrane oxygenation (ECMO) is often required. In this study, cytokine adsorption therapy in combination with ECMO is applied in patients with acute respiratory distress syndrome (ARDS) due to severe pneumogenic sepsis. The efficacy of this therapy is evaluated compared with a historical cohort without hemoadsorption therapy. Methods Between January and May 2018, combined high-flow venovenous ECMO and CytoSorb therapy (CytoSorb filter connected to ECMO circuit) was applied in patients (n = 13) with pneumogenic sepsis and ARDS. These patients were prospectively included (CytoSorb group). Data from patients (n = 7) with pneumogenic sepsis and ECMO therapy were retrospectively analyzed (control group). Results All patients survived in the CytoSorb group, where the 30-day mortality rate reached 57% in the control group. After CytoSorb therapy, we instantly observed a significant reduction in procalcitonin (PCT) and C-reactive protein (CRP) levels compared with the control group. Within 48 hours, the initial high doses of catecholamine could be weaned off only in the CytoSorb group. Conclusions Our results indicate that CytoSorb in combination with ECMO is an effective therapy to prevent escalation of sepsis with rapid weaning off high-dose catecholamine infusions and quick reduction in PCT and CRP levels. Optimal timing of immunomodulatory therapy and impact on ECMO-related inflammation still need to be furtherly investigated.","container-title":"The Thoracic and cardiovascular surgeon","DOI":"10.1055/s-0040-1708479","issue":"03","note":"publisher: Georg Thieme Verlag","page":"246-251","title":"Combined Use of CytoSorb and ECMO in Patients with Severe Pneumogenic Sepsis","volume":"69","author":[{"family":"Akil","given":"A; Ziegeler","suffix":"S; Reichelt, J; Rehers, Stephanie; Abdalla, Omer; Semik, Michael; Fischer, Stefan"}],"issued":{"date-parts":[["2020"]]}}},{"id":327,"uris":["http://zotero.org/users/local/L5HAWlIW/items/F8WHZXRB"],"itemData":{"id":327,"type":"article-journal","abstract":"&lt;AbstractText Label=\"OBJECTIVE\" NlmCategory=\"UNASSIGNED\"&gt;Patients with severe manifestations of COVID-19 might exhibit characteristics of a sepsis-like syndrome that can progress to multiple organ failure and ultimately death. Underlying mechanism have been explored and suggest a profound dysregulation of the immune system associated with hyperinflammation, hemodynamic instability and respiratory failure. Besides standard intensive care treatment, approaches modulating the dysregulated immune response, such as CytoSorb hemoadsorption, have been used. However, data of ECMO-dependent patients in comparison to a control cohort remain scarce.&lt;/AbstractText&gt; &lt;AbstractText Label=\"METHODS\" NlmCategory=\"UNASSIGNED\"&gt;Included were 26 critically ill COVID-19 patients requiring high-flow veno-venous extracorporeal membrane oxygenation (high-flow VV ECMO) therapy due to severe acute respiratory distress syndrome (ARDS), of whom 16 were additionally treated with an extracorporeal hemoadsorption device, and compared to a control group of 10 patients. Assessed were levels of inflammatory markers, vasopressor requirements, oxygenation parameters, as well as clinically relevant outcome variables. Data were prospectively recorded and retrospectively analyzed.&lt;/AbstractText&gt; &lt;AbstractText Label=\"RESULTS\" NlmCategory=\"UNASSIGNED\"&gt;Treatment with the applied multimodal therapy approach resulted in a stabilization in hemodynamics, a control of the hyperinflammatory response as evidenced by a significant reduction in inflammatory mediators, as well as a marked improvement in lung function. No device related adverse events were observed while treatment appeared safe and feasible.&lt;/AbstractText&gt; &lt;AbstractText Label=\"CONCLUSION\" NlmCategory=\"UNASSIGNED\"&gt;Treatment of a critically ill COVID-19 ARDS patients with combined VV ECMO support and hemoadsorption therapy led to a rapid and sustained hemodynamic stabilization, a control of the uncontrolled inflammatory response and an improvement in oxygenation. Given these signals pointing toward a patient-oriented benefit of extracorporeal hemoadsorption therapy in those patients, future controlled, randomized studies should focus on the investigation of the appropriate timing and dosing of this promising treatment modality.&lt;/AbstractText&gt;","container-title":"The International journal of artificial organs","DOI":"10.1177/03913988221103287","issue":"7","page":"615-622","title":"Blood purification therapy in patients with severe COVID-19 requiring veno-venous ECMO therapy: A retrospective study.","volume":"45","author":[{"family":"Akil","given":"Ali; Ziegeler","suffix":"Stephan; Rehers, Stephanie; Ernst, Erik Christian; Fischer, Stefan"}],"issued":{"date-parts":[["2022"]]}}},{"id":127,"uris":["http://zotero.org/users/local/L5HAWlIW/items/E7E286NV"],"itemData":{"id":127,"type":"article-journal","abstract":"AIM: To investigate continuous renal replacement therapy (CRRT) with CytoSorb® cartridge for patients with life-threatening COVID-19 plus acute kidney injury (AKI), sepsis, acute respiratory distress syndrome (ARDS), and cytokine release syndrome (CRS). PATIENTS AND METHODS: Of 492 COVID-19 patients admitted to our intensive care unit (ICU), 50 had AKI necessitating CRRT (10.16%) and were enrolled in the study. Upon ICU admission, all had AKI, ARDS, septic shock, and CRS. In addition to CRRT with CytoSorb® , all received ARDS-net ventilation, prone positioning, plus empiric ribavirin, interferon beta-1b, antibiotics, hydrocortisone, and prophylactic anticoagulation. We retrospectively analyzed inflammatory biomarkers, oxygenation, organ function, duration of mechanical ventilation, ICU length-of-stay, and mortality on day-28 post-ICU admission. RESULTS: Patients were 49.64 ±8.90 years old (78% male) with body mass index of 26.70±2.76 kg/m2 . On ICU admission, mean Acute Physiology and Chronic Health Evaluation II, was 22.52±1.1. Sequential Organ Function Assessment (SOFA) score was 9.36±2.068 and the ratio of partial arterial pressure of oxygen to fractional inspired concentration of oxygen (PaO2 /FiO2 ) was 117.46±36.92. Duration of mechanical ventilation was 17.38±7.39 days, ICU length-of-stay was 20.70±8.83 days, and mortality 28 days post-ICU admission was 30%. Non-survivors had higher levels of inflammatory biomarkers, and more unresolved shock, ARDS, AKI, and pulmonary emboli (8% vs. 4 %, p 620 pg/ml) predicted in-hospital mortality for critically ill COVID-19 patients (area-under-the-curve: 0.87, 95% confidence-intervals: 0.81-0.93; p=0.001). No side effects of therapy were recorded. CONCLUSION: In this retrospective case-series, CRRT with the CytoSorb® cartridge provided a safe rescue therapy in life-threatening COVID-19 with associated AKI, ARDS, sepsis, and hyperinflammation.","container-title":"Artificial organs","DOI":"10.1111/aor.13864","issue":"5","note":"publisher: Wiley-Blackwell","page":"E101-E112","title":"Continuous renal replacement therapy with the addition of CytoSorb ® cartridge in critically ill patients with COVID-19 plus acute kidney injury: a case-series.","volume":"45","author":[{"family":"Alharthy","given":"Abdulrahman; Faqihi","suffix":"Fahad; Memish, Ziad A.; Balhamar, Abdullah; Nasim, Nasir; Shahzad, Ahmad; Tamim, Hani; Alqahtani, Saleh A.; Brindley, Peter G.; Karakitsos, Dimitrios"}],"issued":{"date-parts":[["2020"]]}}},{"id":113,"uris":["http://zotero.org/users/local/L5HAWlIW/items/PY5YV5F5"],"itemData":{"id":113,"type":"article-journal","container-title":"Artificial Organs","DOI":"10.1111/aor.14024","ISSN":"0160-564X, 1525-1594","issue":"11","journalAbbreviation":"Artificial Organs","language":"en","page":"1338-1347","source":"DOI.org (Crossref)","title":"Blood purification with CytoSorb in critically ill COVID‐19 patients: A case series of 26 patients","title-short":"Blood purification with CytoSorb in critically ill COVID‐19 patients","volume":"45","author":[{"family":"Nassiri","given":"Amir Ahmad"},{"family":"Hakemi","given":"Monir Sadat"},{"family":"Miri","given":"Mir Mohammad"},{"family":"Shahrami","given":"Reza"},{"family":"Koomleh","given":"Azadeh Ahmadi"},{"family":"Sabaghian","given":"Tahereh"}],"issued":{"date-parts":[["2021",11]]}}},{"id":421,"uris":["http://zotero.org/users/local/L5HAWlIW/items/CBZA97VA"],"itemData":{"id":421,"type":"article-journal","abstract":"BACKGROUND: We sought to clarify the benefit of cytokine adsorption in patients with COVID-19 supported with venovenous extracorporeal membrane oxygenation (ECMO). METHODS: We did a single-centre, open-label, randomised, controlled trial to investigate cytokine adsorption in adult patients with severe COVID-19 pneumonia requiring ECMO. Patients with COVID-19 selected for ECMO at the Freiburg University Medical Center (Freiburg, Germany) were randomly assigned (1:1) to receive cytokine adsorption using the CytoSorb device or not. Randomisation was computer-generated, allocation was concealed by opaque, sequentially numbered sealed envelopes. The CytoSorb device was incorporated into the ECMO circuit before connection to the patient circuit, replaced every 24 h, and removed after 72 h. The primary endpoint was serum interleukin-6 (IL-6) concentration 72 h after initiation of ECMO analysed by intention to treat. Secondary endpoints included 30-day survival. The trial is registered with ClinicalTrials.gov (NCT04324528) and the German Clinical Trials Register (DRKS00021300) and is closed. FINDINGS: From March 29, 2020, to Dec 29, 2020, of 34 patients assessed for eligibility, 17 (50%) were treated with cytokine adsorption and 17 (50%) without. Median IL-6 decreased from 357·0 pg/mL to 98·6 pg/mL in patients randomly assigned to cytokine adsorption and from 289·0 pg/mL to 112·0 pg/mL in the control group after 72 h. One patient in each group died before 72 h. Adjusted mean log IL-6 concentrations after 72 h were 0·30 higher in the cytokine adsorption group (95% CI -0·70 to 1·30, p=0·54). Survival after 30 days was three (18%) of 17 with cytokine adsorption and 13 (76%) of 17 without cytokine adsorption (p=0·0016). INTERPRETATION: Early initiation of cytokine adsorption in patients with severe COVID-19 and venovenous ECMO did not reduce serum IL-6 and had a negative effect on survival. Cytokine adsorption should not be used during the first days of ECMO support in COVID-19. FUNDING: None.","container-title":"The Lancet. Respiratory medicine","DOI":"10.1016/s2213-2600(21)00177-6","issue":"7","page":"755-762","title":"Cytokine adsorption in patients with severe COVID-19 pneumonia requiring extracorporeal membrane oxygenation (CYCOV): a single centre, open-label, randomised, controlled trial.","volume":"9","author":[{"family":"Supady","given":"Alexander; Weber","suffix":"Enya; Rieder, Marina; Lother, Achim; Niklaus, Tim; Zahn, Timm; Frech, Franziska; Müller, Sissi; Kuhl, Moritz; Benk, Christoph; Maier, Sven; Trummer, Georg; Flügler, Annabelle; Krüger, Kirsten; Sekandarzad, Asieb; Stachon, Peter; Zotzmann, Viviane; Bode, Christoph; Biever, Paul; Staudacher, Dawid L.; Wengenmayer, Tobias; Graf, Erika; Duerschmied, Daniel"}],"issued":{"date-parts":[["2021"]]}}},{"id":124,"uris":["http://zotero.org/users/local/L5HAWlIW/items/PXLFIR4H"],"itemData":{"id":124,"type":"article-journal","abstract":"Introduction:\n              Severe cases of the COVID-19 are often associated with the development of a fulminant sepsis-like state with a concomitant cytokine release syndrome. Recently, immunomodulating approaches to treat such a hyperinflammation have come into focus, including the use of new extracorporeal organ support therapies such as CytoSorb hemoadsorption designed to remove cytokines and other circulating mediators from blood.\n            \n            \n              Patients and methods:\n              Thirteen critically ill COVID-19 patients with ARDS who received either ECMO therapy and/or CRRT with concomitant multiple organ failure were included. Hemoadsorption therapy was initiated once the patient had established—or was at high risk of developing—a hyperinflammatory state with marked hemodynamic instability or progressive lung failure. Levels of inflammatory markers, vasopressor requirements, oxygenation, and ventilation parameters were measured, as well as clinically relevant outcome measures.\n            \n            \n              Results:\n              Combined therapy was associated with a significant reduction in inflammatory mediators, hemodynamic stabilization with a concomitant decrease in requirements for vasoactive substances, and a pronounced improvement in lung function and the need for ventilatory support. Treatment appeared safe and well-tolerated.\n            \n            \n              Conclusions:\n              In this case series of SARS-CoV-2 infected patients admitted to the intensive care unit with ARDS, we report effective interleukin (IL)-6 removal, reduced norepinephrine requirement, and improved lung function while receiving adjuvant, extracorporeal hemoadsorption therapy in the context of a multimodal treatment approach. The presented protocol for CytoSorb initiation may be a good foundation for the development of further prospective studies in the field and may eventually also be applied to other forms of hyperinflammatory ARDS.","container-title":"The International Journal of Artificial Organs","DOI":"10.1177/03913988211030517","ISSN":"0391-3988, 1724-6040","issue":"10","journalAbbreviation":"Int J Artif Organs","language":"en","page":"694-702","source":"DOI.org (Crossref)","title":"Adjuvant hemoadsorption therapy in patients with severe COVID-19 and related organ failure requiring CRRT or ECMO therapy: A case series","title-short":"Adjuvant hemoadsorption therapy in patients with severe COVID-19 and related organ failure requiring CRRT or ECMO therapy","volume":"44","author":[{"family":"Wunderlich-Sperl","given":"Florian"},{"family":"Kautzky","given":"Sebastian"},{"family":"Pickem","given":"Christian"},{"family":"Hörmann","given":"Christoph"}],"issued":{"date-parts":[["2021",10]]}}},{"id":907,"uris":["http://zotero.org/users/local/L5HAWlIW/items/KNHRHBVD"],"itemData":{"id":907,"type":"article-journal","container-title":"Therapeutic Apheresis and Dialysis","DOI":"10.1111/j.1744-9987.2012.01083.x","ISSN":"17449979","issue":"4","journalAbbreviation":"Ther Apher Dial","language":"en","page":"454-461","source":"DOI.org (Crossref)","title":"Effect on Extrapulmonary Sepsis-Induced Acute Lung Injury by Hemoperfusion With Neutral Microporous Resin Column: Effect of Hemoperfusion on Sepsis","title-short":"Effect on Extrapulmonary Sepsis-Induced Acute Lung Injury by Hemoperfusion With Neutral Microporous Resin Column","volume":"17","author":[{"family":"Huang","given":"Zhao"},{"family":"Wang","given":"Si-rong"},{"family":"Yang","given":"Zi-li"},{"family":"Liu","given":"Ji-yun"}],"issued":{"date-parts":[["2013",8]]}}}],"schema":"https://github.com/citation-style-language/schema/raw/master/csl-citation.json"} </w:instrText>
      </w:r>
      <w:r w:rsidR="00AD7C9E" w:rsidRPr="00483D15">
        <w:rPr>
          <w:lang w:val="en-US"/>
        </w:rPr>
        <w:fldChar w:fldCharType="separate"/>
      </w:r>
      <w:r w:rsidR="000E3931" w:rsidRPr="000E3931">
        <w:rPr>
          <w:rFonts w:cs="Times New Roman"/>
          <w:kern w:val="0"/>
        </w:rPr>
        <w:t>[24,70–72,82,91,92]</w:t>
      </w:r>
      <w:r w:rsidR="00AD7C9E" w:rsidRPr="00483D15">
        <w:rPr>
          <w:lang w:val="en-US"/>
        </w:rPr>
        <w:fldChar w:fldCharType="end"/>
      </w:r>
      <w:r w:rsidRPr="00483D15">
        <w:rPr>
          <w:lang w:val="en-US"/>
        </w:rPr>
        <w:t xml:space="preserve"> (160</w:t>
      </w:r>
      <w:r w:rsidR="00B870B8">
        <w:rPr>
          <w:lang w:val="en-US"/>
        </w:rPr>
        <w:t xml:space="preserve"> patients</w:t>
      </w:r>
      <w:r w:rsidRPr="00483D15">
        <w:rPr>
          <w:lang w:val="en-US"/>
        </w:rPr>
        <w:t xml:space="preserve">) assessing norepinephrine (NE) requirements before and after HA therapy demonstrated a significant reduction following treatment, with a </w:t>
      </w:r>
      <w:r w:rsidR="00A0483F">
        <w:rPr>
          <w:lang w:val="en-US"/>
        </w:rPr>
        <w:t xml:space="preserve">MD </w:t>
      </w:r>
      <w:r w:rsidRPr="00483D15">
        <w:rPr>
          <w:lang w:val="en-US"/>
        </w:rPr>
        <w:t xml:space="preserve"> of −0.23 </w:t>
      </w:r>
      <w:proofErr w:type="spellStart"/>
      <w:r w:rsidRPr="00483D15">
        <w:rPr>
          <w:lang w:val="en-US"/>
        </w:rPr>
        <w:t>μg</w:t>
      </w:r>
      <w:proofErr w:type="spellEnd"/>
      <w:r w:rsidRPr="00483D15">
        <w:rPr>
          <w:lang w:val="en-US"/>
        </w:rPr>
        <w:t xml:space="preserve">/kg/min (95% CI: −0.43 to −0.04; I² = 99%; </w:t>
      </w:r>
      <w:r w:rsidRPr="00483D15">
        <w:rPr>
          <w:lang w:val="en-US"/>
        </w:rPr>
        <w:lastRenderedPageBreak/>
        <w:t>p = 0.028)</w:t>
      </w:r>
      <w:r w:rsidR="00F00785" w:rsidRPr="00483D15">
        <w:rPr>
          <w:lang w:val="en-US"/>
        </w:rPr>
        <w:t xml:space="preserve"> </w:t>
      </w:r>
      <w:r w:rsidR="00EC5226">
        <w:rPr>
          <w:lang w:val="en-US"/>
        </w:rPr>
        <w:fldChar w:fldCharType="begin"/>
      </w:r>
      <w:r w:rsidR="00EC5226">
        <w:rPr>
          <w:lang w:val="en-US"/>
        </w:rPr>
        <w:instrText xml:space="preserve"> REF _Ref204019746 \h </w:instrText>
      </w:r>
      <w:r w:rsidR="00EC5226">
        <w:rPr>
          <w:lang w:val="en-US"/>
        </w:rPr>
      </w:r>
      <w:r w:rsidR="00EC5226">
        <w:rPr>
          <w:lang w:val="en-US"/>
        </w:rPr>
        <w:fldChar w:fldCharType="separate"/>
      </w:r>
      <w:proofErr w:type="spellStart"/>
      <w:r w:rsidR="007F7DB3">
        <w:t>Figure</w:t>
      </w:r>
      <w:proofErr w:type="spellEnd"/>
      <w:r w:rsidR="007F7DB3">
        <w:t xml:space="preserve"> </w:t>
      </w:r>
      <w:r w:rsidR="007F7DB3">
        <w:rPr>
          <w:noProof/>
        </w:rPr>
        <w:t>21</w:t>
      </w:r>
      <w:r w:rsidR="00EC5226">
        <w:rPr>
          <w:lang w:val="en-US"/>
        </w:rPr>
        <w:fldChar w:fldCharType="end"/>
      </w:r>
      <w:r w:rsidR="00F00785" w:rsidRPr="00483D15">
        <w:rPr>
          <w:lang w:val="en-US"/>
        </w:rPr>
        <w:t>A</w:t>
      </w:r>
      <w:r w:rsidRPr="00483D15">
        <w:rPr>
          <w:lang w:val="en-US"/>
        </w:rPr>
        <w:t>. Additionally, analysis of four studies</w:t>
      </w:r>
      <w:r w:rsidR="00BD573F">
        <w:rPr>
          <w:lang w:val="en-US"/>
        </w:rPr>
        <w:t xml:space="preserve"> </w:t>
      </w:r>
      <w:r w:rsidR="00C91ECB" w:rsidRPr="00483D15">
        <w:rPr>
          <w:lang w:val="en-US"/>
        </w:rPr>
        <w:fldChar w:fldCharType="begin"/>
      </w:r>
      <w:r w:rsidR="000E3931">
        <w:rPr>
          <w:lang w:val="en-US"/>
        </w:rPr>
        <w:instrText xml:space="preserve"> ADDIN ZOTERO_ITEM CSL_CITATION {"citationID":"4z13kn9G","properties":{"formattedCitation":"[24,70,71,92]","plainCitation":"[24,70,71,92]","noteIndex":0},"citationItems":[{"id":162,"uris":["http://zotero.org/users/local/L5HAWlIW/items/ZEUANS5S"],"itemData":{"id":162,"type":"article-journal","abstract":"Background High morbidity and mortality are frequently reported in intensive care patients suffering from severe sepsis with systemic inflammation. With the development of severe respiratory failure, extracorporeal membrane oxygenation (ECMO) is often required. In this study, cytokine adsorption therapy in combination with ECMO is applied in patients with acute respiratory distress syndrome (ARDS) due to severe pneumogenic sepsis. The efficacy of this therapy is evaluated compared with a historical cohort without hemoadsorption therapy. Methods Between January and May 2018, combined high-flow venovenous ECMO and CytoSorb therapy (CytoSorb filter connected to ECMO circuit) was applied in patients (n = 13) with pneumogenic sepsis and ARDS. These patients were prospectively included (CytoSorb group). Data from patients (n = 7) with pneumogenic sepsis and ECMO therapy were retrospectively analyzed (control group). Results All patients survived in the CytoSorb group, where the 30-day mortality rate reached 57% in the control group. After CytoSorb therapy, we instantly observed a significant reduction in procalcitonin (PCT) and C-reactive protein (CRP) levels compared with the control group. Within 48 hours, the initial high doses of catecholamine could be weaned off only in the CytoSorb group. Conclusions Our results indicate that CytoSorb in combination with ECMO is an effective therapy to prevent escalation of sepsis with rapid weaning off high-dose catecholamine infusions and quick reduction in PCT and CRP levels. Optimal timing of immunomodulatory therapy and impact on ECMO-related inflammation still need to be furtherly investigated.","container-title":"The Thoracic and cardiovascular surgeon","DOI":"10.1055/s-0040-1708479","issue":"03","note":"publisher: Georg Thieme Verlag","page":"246-251","title":"Combined Use of CytoSorb and ECMO in Patients with Severe Pneumogenic Sepsis","volume":"69","author":[{"family":"Akil","given":"A; Ziegeler","suffix":"S; Reichelt, J; Rehers, Stephanie; Abdalla, Omer; Semik, Michael; Fischer, Stefan"}],"issued":{"date-parts":[["2020"]]}}},{"id":327,"uris":["http://zotero.org/users/local/L5HAWlIW/items/F8WHZXRB"],"itemData":{"id":327,"type":"article-journal","abstract":"&lt;AbstractText Label=\"OBJECTIVE\" NlmCategory=\"UNASSIGNED\"&gt;Patients with severe manifestations of COVID-19 might exhibit characteristics of a sepsis-like syndrome that can progress to multiple organ failure and ultimately death. Underlying mechanism have been explored and suggest a profound dysregulation of the immune system associated with hyperinflammation, hemodynamic instability and respiratory failure. Besides standard intensive care treatment, approaches modulating the dysregulated immune response, such as CytoSorb hemoadsorption, have been used. However, data of ECMO-dependent patients in comparison to a control cohort remain scarce.&lt;/AbstractText&gt; &lt;AbstractText Label=\"METHODS\" NlmCategory=\"UNASSIGNED\"&gt;Included were 26 critically ill COVID-19 patients requiring high-flow veno-venous extracorporeal membrane oxygenation (high-flow VV ECMO) therapy due to severe acute respiratory distress syndrome (ARDS), of whom 16 were additionally treated with an extracorporeal hemoadsorption device, and compared to a control group of 10 patients. Assessed were levels of inflammatory markers, vasopressor requirements, oxygenation parameters, as well as clinically relevant outcome variables. Data were prospectively recorded and retrospectively analyzed.&lt;/AbstractText&gt; &lt;AbstractText Label=\"RESULTS\" NlmCategory=\"UNASSIGNED\"&gt;Treatment with the applied multimodal therapy approach resulted in a stabilization in hemodynamics, a control of the hyperinflammatory response as evidenced by a significant reduction in inflammatory mediators, as well as a marked improvement in lung function. No device related adverse events were observed while treatment appeared safe and feasible.&lt;/AbstractText&gt; &lt;AbstractText Label=\"CONCLUSION\" NlmCategory=\"UNASSIGNED\"&gt;Treatment of a critically ill COVID-19 ARDS patients with combined VV ECMO support and hemoadsorption therapy led to a rapid and sustained hemodynamic stabilization, a control of the uncontrolled inflammatory response and an improvement in oxygenation. Given these signals pointing toward a patient-oriented benefit of extracorporeal hemoadsorption therapy in those patients, future controlled, randomized studies should focus on the investigation of the appropriate timing and dosing of this promising treatment modality.&lt;/AbstractText&gt;","container-title":"The International journal of artificial organs","DOI":"10.1177/03913988221103287","issue":"7","page":"615-622","title":"Blood purification therapy in patients with severe COVID-19 requiring veno-venous ECMO therapy: A retrospective study.","volume":"45","author":[{"family":"Akil","given":"Ali; Ziegeler","suffix":"Stephan; Rehers, Stephanie; Ernst, Erik Christian; Fischer, Stefan"}],"issued":{"date-parts":[["2022"]]}}},{"id":421,"uris":["http://zotero.org/users/local/L5HAWlIW/items/CBZA97VA"],"itemData":{"id":421,"type":"article-journal","abstract":"BACKGROUND: We sought to clarify the benefit of cytokine adsorption in patients with COVID-19 supported with venovenous extracorporeal membrane oxygenation (ECMO). METHODS: We did a single-centre, open-label, randomised, controlled trial to investigate cytokine adsorption in adult patients with severe COVID-19 pneumonia requiring ECMO. Patients with COVID-19 selected for ECMO at the Freiburg University Medical Center (Freiburg, Germany) were randomly assigned (1:1) to receive cytokine adsorption using the CytoSorb device or not. Randomisation was computer-generated, allocation was concealed by opaque, sequentially numbered sealed envelopes. The CytoSorb device was incorporated into the ECMO circuit before connection to the patient circuit, replaced every 24 h, and removed after 72 h. The primary endpoint was serum interleukin-6 (IL-6) concentration 72 h after initiation of ECMO analysed by intention to treat. Secondary endpoints included 30-day survival. The trial is registered with ClinicalTrials.gov (NCT04324528) and the German Clinical Trials Register (DRKS00021300) and is closed. FINDINGS: From March 29, 2020, to Dec 29, 2020, of 34 patients assessed for eligibility, 17 (50%) were treated with cytokine adsorption and 17 (50%) without. Median IL-6 decreased from 357·0 pg/mL to 98·6 pg/mL in patients randomly assigned to cytokine adsorption and from 289·0 pg/mL to 112·0 pg/mL in the control group after 72 h. One patient in each group died before 72 h. Adjusted mean log IL-6 concentrations after 72 h were 0·30 higher in the cytokine adsorption group (95% CI -0·70 to 1·30, p=0·54). Survival after 30 days was three (18%) of 17 with cytokine adsorption and 13 (76%) of 17 without cytokine adsorption (p=0·0016). INTERPRETATION: Early initiation of cytokine adsorption in patients with severe COVID-19 and venovenous ECMO did not reduce serum IL-6 and had a negative effect on survival. Cytokine adsorption should not be used during the first days of ECMO support in COVID-19. FUNDING: None.","container-title":"The Lancet. Respiratory medicine","DOI":"10.1016/s2213-2600(21)00177-6","issue":"7","page":"755-762","title":"Cytokine adsorption in patients with severe COVID-19 pneumonia requiring extracorporeal membrane oxygenation (CYCOV): a single centre, open-label, randomised, controlled trial.","volume":"9","author":[{"family":"Supady","given":"Alexander; Weber","suffix":"Enya; Rieder, Marina; Lother, Achim; Niklaus, Tim; Zahn, Timm; Frech, Franziska; Müller, Sissi; Kuhl, Moritz; Benk, Christoph; Maier, Sven; Trummer, Georg; Flügler, Annabelle; Krüger, Kirsten; Sekandarzad, Asieb; Stachon, Peter; Zotzmann, Viviane; Bode, Christoph; Biever, Paul; Staudacher, Dawid L.; Wengenmayer, Tobias; Graf, Erika; Duerschmied, Daniel"}],"issued":{"date-parts":[["2021"]]}}},{"id":907,"uris":["http://zotero.org/users/local/L5HAWlIW/items/KNHRHBVD"],"itemData":{"id":907,"type":"article-journal","container-title":"Therapeutic Apheresis and Dialysis","DOI":"10.1111/j.1744-9987.2012.01083.x","ISSN":"17449979","issue":"4","journalAbbreviation":"Ther Apher Dial","language":"en","page":"454-461","source":"DOI.org (Crossref)","title":"Effect on Extrapulmonary Sepsis-Induced Acute Lung Injury by Hemoperfusion With Neutral Microporous Resin Column: Effect of Hemoperfusion on Sepsis","title-short":"Effect on Extrapulmonary Sepsis-Induced Acute Lung Injury by Hemoperfusion With Neutral Microporous Resin Column","volume":"17","author":[{"family":"Huang","given":"Zhao"},{"family":"Wang","given":"Si-rong"},{"family":"Yang","given":"Zi-li"},{"family":"Liu","given":"Ji-yun"}],"issued":{"date-parts":[["2013",8]]}}}],"schema":"https://github.com/citation-style-language/schema/raw/master/csl-citation.json"} </w:instrText>
      </w:r>
      <w:r w:rsidR="00C91ECB" w:rsidRPr="00483D15">
        <w:rPr>
          <w:lang w:val="en-US"/>
        </w:rPr>
        <w:fldChar w:fldCharType="separate"/>
      </w:r>
      <w:r w:rsidR="000E3931" w:rsidRPr="000E3931">
        <w:rPr>
          <w:rFonts w:cs="Times New Roman"/>
        </w:rPr>
        <w:t>[24,70,71,92]</w:t>
      </w:r>
      <w:r w:rsidR="00C91ECB" w:rsidRPr="00483D15">
        <w:rPr>
          <w:lang w:val="en-US"/>
        </w:rPr>
        <w:fldChar w:fldCharType="end"/>
      </w:r>
      <w:r w:rsidRPr="00483D15">
        <w:rPr>
          <w:lang w:val="en-US"/>
        </w:rPr>
        <w:t xml:space="preserve"> (126</w:t>
      </w:r>
      <w:r w:rsidR="00B870B8">
        <w:rPr>
          <w:lang w:val="en-US"/>
        </w:rPr>
        <w:t xml:space="preserve"> patients</w:t>
      </w:r>
      <w:r w:rsidRPr="00483D15">
        <w:rPr>
          <w:lang w:val="en-US"/>
        </w:rPr>
        <w:t xml:space="preserve">) that included a </w:t>
      </w:r>
      <w:r w:rsidR="0046796C">
        <w:rPr>
          <w:lang w:val="en-US"/>
        </w:rPr>
        <w:t>CG</w:t>
      </w:r>
      <w:r w:rsidRPr="00483D15">
        <w:rPr>
          <w:lang w:val="en-US"/>
        </w:rPr>
        <w:t xml:space="preserve"> indicated a non-significant trend toward lower vasopressor requirements in patients treated with HA compared to those receiving standard medical care (MD = −0.12 </w:t>
      </w:r>
      <w:proofErr w:type="spellStart"/>
      <w:r w:rsidRPr="00483D15">
        <w:rPr>
          <w:lang w:val="en-US"/>
        </w:rPr>
        <w:t>μg</w:t>
      </w:r>
      <w:proofErr w:type="spellEnd"/>
      <w:r w:rsidRPr="00483D15">
        <w:rPr>
          <w:lang w:val="en-US"/>
        </w:rPr>
        <w:t>/kg/min; 95% CI: −0.29 to 0.05; I² = 74%; p = 0.108). In this comparison, the certainty of evidence was rated as low. Serum lactate levels</w:t>
      </w:r>
      <w:r w:rsidR="00B869AB" w:rsidRPr="00483D15">
        <w:rPr>
          <w:lang w:val="en-US"/>
        </w:rPr>
        <w:t xml:space="preserve"> based on eight studies</w:t>
      </w:r>
      <w:r w:rsidR="00BD573F">
        <w:rPr>
          <w:lang w:val="en-US"/>
        </w:rPr>
        <w:t xml:space="preserve"> </w:t>
      </w:r>
      <w:r w:rsidR="00B869AB" w:rsidRPr="00483D15">
        <w:rPr>
          <w:lang w:val="en-US"/>
        </w:rPr>
        <w:fldChar w:fldCharType="begin"/>
      </w:r>
      <w:r w:rsidR="000E3931">
        <w:rPr>
          <w:lang w:val="en-US"/>
        </w:rPr>
        <w:instrText xml:space="preserve"> ADDIN ZOTERO_ITEM CSL_CITATION {"citationID":"i8srrZ3U","properties":{"formattedCitation":"[70\\uc0\\u8211{}72,76,78,82,88,91]","plainCitation":"[70–72,76,78,82,88,91]","noteIndex":0},"citationItems":[{"id":162,"uris":["http://zotero.org/users/local/L5HAWlIW/items/ZEUANS5S"],"itemData":{"id":162,"type":"article-journal","abstract":"Background High morbidity and mortality are frequently reported in intensive care patients suffering from severe sepsis with systemic inflammation. With the development of severe respiratory failure, extracorporeal membrane oxygenation (ECMO) is often required. In this study, cytokine adsorption therapy in combination with ECMO is applied in patients with acute respiratory distress syndrome (ARDS) due to severe pneumogenic sepsis. The efficacy of this therapy is evaluated compared with a historical cohort without hemoadsorption therapy. Methods Between January and May 2018, combined high-flow venovenous ECMO and CytoSorb therapy (CytoSorb filter connected to ECMO circuit) was applied in patients (n = 13) with pneumogenic sepsis and ARDS. These patients were prospectively included (CytoSorb group). Data from patients (n = 7) with pneumogenic sepsis and ECMO therapy were retrospectively analyzed (control group). Results All patients survived in the CytoSorb group, where the 30-day mortality rate reached 57% in the control group. After CytoSorb therapy, we instantly observed a significant reduction in procalcitonin (PCT) and C-reactive protein (CRP) levels compared with the control group. Within 48 hours, the initial high doses of catecholamine could be weaned off only in the CytoSorb group. Conclusions Our results indicate that CytoSorb in combination with ECMO is an effective therapy to prevent escalation of sepsis with rapid weaning off high-dose catecholamine infusions and quick reduction in PCT and CRP levels. Optimal timing of immunomodulatory therapy and impact on ECMO-related inflammation still need to be furtherly investigated.","container-title":"The Thoracic and cardiovascular surgeon","DOI":"10.1055/s-0040-1708479","issue":"03","note":"publisher: Georg Thieme Verlag","page":"246-251","title":"Combined Use of CytoSorb and ECMO in Patients with Severe Pneumogenic Sepsis","volume":"69","author":[{"family":"Akil","given":"A; Ziegeler","suffix":"S; Reichelt, J; Rehers, Stephanie; Abdalla, Omer; Semik, Michael; Fischer, Stefan"}],"issued":{"date-parts":[["2020"]]}}},{"id":327,"uris":["http://zotero.org/users/local/L5HAWlIW/items/F8WHZXRB"],"itemData":{"id":327,"type":"article-journal","abstract":"&lt;AbstractText Label=\"OBJECTIVE\" NlmCategory=\"UNASSIGNED\"&gt;Patients with severe manifestations of COVID-19 might exhibit characteristics of a sepsis-like syndrome that can progress to multiple organ failure and ultimately death. Underlying mechanism have been explored and suggest a profound dysregulation of the immune system associated with hyperinflammation, hemodynamic instability and respiratory failure. Besides standard intensive care treatment, approaches modulating the dysregulated immune response, such as CytoSorb hemoadsorption, have been used. However, data of ECMO-dependent patients in comparison to a control cohort remain scarce.&lt;/AbstractText&gt; &lt;AbstractText Label=\"METHODS\" NlmCategory=\"UNASSIGNED\"&gt;Included were 26 critically ill COVID-19 patients requiring high-flow veno-venous extracorporeal membrane oxygenation (high-flow VV ECMO) therapy due to severe acute respiratory distress syndrome (ARDS), of whom 16 were additionally treated with an extracorporeal hemoadsorption device, and compared to a control group of 10 patients. Assessed were levels of inflammatory markers, vasopressor requirements, oxygenation parameters, as well as clinically relevant outcome variables. Data were prospectively recorded and retrospectively analyzed.&lt;/AbstractText&gt; &lt;AbstractText Label=\"RESULTS\" NlmCategory=\"UNASSIGNED\"&gt;Treatment with the applied multimodal therapy approach resulted in a stabilization in hemodynamics, a control of the hyperinflammatory response as evidenced by a significant reduction in inflammatory mediators, as well as a marked improvement in lung function. No device related adverse events were observed while treatment appeared safe and feasible.&lt;/AbstractText&gt; &lt;AbstractText Label=\"CONCLUSION\" NlmCategory=\"UNASSIGNED\"&gt;Treatment of a critically ill COVID-19 ARDS patients with combined VV ECMO support and hemoadsorption therapy led to a rapid and sustained hemodynamic stabilization, a control of the uncontrolled inflammatory response and an improvement in oxygenation. Given these signals pointing toward a patient-oriented benefit of extracorporeal hemoadsorption therapy in those patients, future controlled, randomized studies should focus on the investigation of the appropriate timing and dosing of this promising treatment modality.&lt;/AbstractText&gt;","container-title":"The International journal of artificial organs","DOI":"10.1177/03913988221103287","issue":"7","page":"615-622","title":"Blood purification therapy in patients with severe COVID-19 requiring veno-venous ECMO therapy: A retrospective study.","volume":"45","author":[{"family":"Akil","given":"Ali; Ziegeler","suffix":"Stephan; Rehers, Stephanie; Ernst, Erik Christian; Fischer, Stefan"}],"issued":{"date-parts":[["2022"]]}}},{"id":127,"uris":["http://zotero.org/users/local/L5HAWlIW/items/E7E286NV"],"itemData":{"id":127,"type":"article-journal","abstract":"AIM: To investigate continuous renal replacement therapy (CRRT) with CytoSorb® cartridge for patients with life-threatening COVID-19 plus acute kidney injury (AKI), sepsis, acute respiratory distress syndrome (ARDS), and cytokine release syndrome (CRS). PATIENTS AND METHODS: Of 492 COVID-19 patients admitted to our intensive care unit (ICU), 50 had AKI necessitating CRRT (10.16%) and were enrolled in the study. Upon ICU admission, all had AKI, ARDS, septic shock, and CRS. In addition to CRRT with CytoSorb® , all received ARDS-net ventilation, prone positioning, plus empiric ribavirin, interferon beta-1b, antibiotics, hydrocortisone, and prophylactic anticoagulation. We retrospectively analyzed inflammatory biomarkers, oxygenation, organ function, duration of mechanical ventilation, ICU length-of-stay, and mortality on day-28 post-ICU admission. RESULTS: Patients were 49.64 ±8.90 years old (78% male) with body mass index of 26.70±2.76 kg/m2 . On ICU admission, mean Acute Physiology and Chronic Health Evaluation II, was 22.52±1.1. Sequential Organ Function Assessment (SOFA) score was 9.36±2.068 and the ratio of partial arterial pressure of oxygen to fractional inspired concentration of oxygen (PaO2 /FiO2 ) was 117.46±36.92. Duration of mechanical ventilation was 17.38±7.39 days, ICU length-of-stay was 20.70±8.83 days, and mortality 28 days post-ICU admission was 30%. Non-survivors had higher levels of inflammatory biomarkers, and more unresolved shock, ARDS, AKI, and pulmonary emboli (8% vs. 4 %, p 620 pg/ml) predicted in-hospital mortality for critically ill COVID-19 patients (area-under-the-curve: 0.87, 95% confidence-intervals: 0.81-0.93; p=0.001). No side effects of therapy were recorded. CONCLUSION: In this retrospective case-series, CRRT with the CytoSorb® cartridge provided a safe rescue therapy in life-threatening COVID-19 with associated AKI, ARDS, sepsis, and hyperinflammation.","container-title":"Artificial organs","DOI":"10.1111/aor.13864","issue":"5","note":"publisher: Wiley-Blackwell","page":"E101-E112","title":"Continuous renal replacement therapy with the addition of CytoSorb ® cartridge in critically ill patients with COVID-19 plus acute kidney injury: a case-series.","volume":"45","author":[{"family":"Alharthy","given":"Abdulrahman; Faqihi","suffix":"Fahad; Memish, Ziad A.; Balhamar, Abdullah; Nasim, Nasir; Shahzad, Ahmad; Tamim, Hani; Alqahtani, Saleh A.; Brindley, Peter G.; Karakitsos, Dimitrios"}],"issued":{"date-parts":[["2020"]]}}},{"id":1031,"uris":["http://zotero.org/users/local/L5HAWlIW/items/XD3S8C9H"],"itemData":{"id":1031,"type":"article-journal","abstract":"BACKGROUND AND AIM: Patients with severe coronavirus disease 2019 (COVID-19) develop a profound cytokine-mediated pro-inflammatory response. This study  reports outcomes in 10 patients with COVID-19 supported on veno-venous  extracorporeal membrane oxygenation (VV-ECMO) who were selected for the emergency  use of a hemoadsorption column integrated in the ECMO circuit. MATERIALS AND  METHODS: Pre and posttreatment, clinical data, and inflammatory markers were  assessed to determine the safety and feasibility of using this system and to  evaluate the clinical effect. RESULTS: During hemoadsorption, median levels of  interleukin (IL)-2R, IL-6, and IL-10 decreased by 54%, 86%, and 64%,  respectively. Reductions in other markers were observed for lactate dehydrogenase  (-49%), ferritin (-46%), d-dimer (-7%), C-reactive protein (-55%), procalcitonin  (-76%), and lactate (-44%). Vasoactive-inotrope scores decreased significantly  over the treatment interval (-80%). The median hospital length of stay was 53  days (36-85) and at 90-days post cannulation, survival was 90% which was similar  to a group of patients without the use of hemoadsorption. CONCLUSIONS: Addition  of hemoadsorption to VV-ECMO in patients with severe COVID-19 is feasible and  reduces measured cytokine levels. However, in this small series, the precise  impact on the overall clinical course and survival benefit still remains unknown.","container-title":"Journal of cardiac surgery","DOI":"10.1111/jocs.15785","ISSN":"1540-8191 0886-0440","issue":"11","journalAbbreviation":"J Card Surg","language":"eng","license":"© 2021 Wiley Periodicals LLC.","note":"publisher-place: United States\nPMID: 34219277 \nPMCID: PMC8447331","page":"4256-4264","title":"Hemoadsorption for management of patients on veno-venous ECMO support for severe COVID-19 acute respiratory distress syndrome.","volume":"36","author":[{"family":"Geraci","given":"Travis C."},{"family":"Kon","given":"Zachary N."},{"family":"Moazami","given":"Nader"},{"family":"Chang","given":"Stephanie H."},{"family":"Carillo","given":"Julius"},{"family":"Chen","given":"Stacey"},{"family":"Fargnoli","given":"Anthony"},{"family":"Alimi","given":"Marjan"},{"family":"Pass","given":"Harvey"},{"family":"Galloway","given":"Aubrey"},{"family":"Smith","given":"Deane E."}],"issued":{"date-parts":[["2021",11]]}}},{"id":106,"uris":["http://zotero.org/users/local/L5HAWlIW/items/P8UURMI3"],"itemData":{"id":106,"type":"article-journal","abstract":"Introduction\n              Acute respiratory distress syndrome in the context of severe sepsis and septic shock represents a serious clinical disorder. A recent case series in patients with septic shock and renal failure receiving hemoadsorption treatment showed rapid hemodynamic stabilization and increased survival, particularly in pneumonia patients and in those where therapy was started early. We hypothesized that patients suffering from pneumonia and refractory acute respiratory distress syndrome to the extent that they required extracorporeal membrane oxygenation support could possibly demonstrate the most pronounced benefit from the treatment.\n            \n            \n              Methods\n              We assessed the association of hemoadsorption treatment with hemodynamics, ventilation, and outcome variables in a set of patients with septic shock, acute respiratory distress syndrome, need for veno-venous extracorporeal membrane oxygenation, and continuous renal replacement therapy.\n            \n            \n              Results\n              Key observations include a significant stabilization in hemodynamics as evidenced by a marked decrease in catecholamine need, which was paralleled by a clear reduction in hyperlactatemia. Respiratory variables improved significantly. In addition, severity of illness and overall organ dysfunction showed a considerable decrease during the course of treatment. Observed mortality was approximately half as predicted by APACHE II. Treatment with CytoSorb was safe and well tolerated with no device-related adverse events.\n            \n            \n              Discussion\n              This is the first case series reporting on outcome variables associated to CytoSorb therapy in critically ill patients with septic shock, acute respiratory distress syndrome, veno-venous extracorporeal membrane oxygenation, and continuous renal replacement therapy. Based on our observations in this small case series, CytoSorb might represent a potentially promising therapy option for patients with refractory extracorporeal membrane oxygenation-dependent acute respiratory distress syndrome in the context of septic shock.","container-title":"Journal of the Intensive Care Society","DOI":"10.1177/1751143718818992","ISSN":"1751-1437","issue":"2","journalAbbreviation":"Journal of the Intensive Care Society","language":"en","page":"183-190","source":"DOI.org (Crossref)","title":"Use of hemoadsorption in sepsis-associated ECMO-dependent severe ARDS: A case series","title-short":"Use of hemoadsorption in sepsis-associated ECMO-dependent severe ARDS","volume":"21","author":[{"family":"Kogelmann","given":"Klaus"},{"family":"Scheller","given":"Morten"},{"family":"Drüner","given":"Matthias"},{"family":"Jarczak","given":"Dominik"}],"issued":{"date-parts":[["2020",5]]}}},{"id":113,"uris":["http://zotero.org/users/local/L5HAWlIW/items/PY5YV5F5"],"itemData":{"id":113,"type":"article-journal","container-title":"Artificial Organs","DOI":"10.1111/aor.14024","ISSN":"0160-564X, 1525-1594","issue":"11","journalAbbreviation":"Artificial Organs","language":"en","page":"1338-1347","source":"DOI.org (Crossref)","title":"Blood purification with CytoSorb in critically ill COVID‐19 patients: A case series of 26 patients","title-short":"Blood purification with CytoSorb in critically ill COVID‐19 patients","volume":"45","author":[{"family":"Nassiri","given":"Amir Ahmad"},{"family":"Hakemi","given":"Monir Sadat"},{"family":"Miri","given":"Mir Mohammad"},{"family":"Shahrami","given":"Reza"},{"family":"Koomleh","given":"Azadeh Ahmadi"},{"family":"Sabaghian","given":"Tahereh"}],"issued":{"date-parts":[["2021",11]]}}},{"id":331,"uris":["http://zotero.org/users/local/L5HAWlIW/items/ISGUAB37"],"itemData":{"id":331,"type":"article-journal","abstract":"Respiratory failure and systemic inflammation are paramount features of severe SARS-CoV-2 disease (COVID-19). Extracorporeal membrane oxygenation (ECMO) therapy has a potential role in patients with refractory disease. An inflammatory response due to blood contact with hemofilters, functioning as a synergic inflammatory stimulus, can lead to a hyperinflammatory state, relatable to cytokine release syndromes. After the first patient succumbed to a refractory vasodilatory shock believed to be due to hyperinflammatory state, a strategy of blood purification through cytokine adsorption therapy (CAT) with CytoSorb® was designed. In this case series, the authors describe the initial experience with such strategy. CAT was employed with no direct complications and helped controlling the inflammatory state, with all patients halting vasopressor support in 72 h and biomarker levels (C-reactive protein, ferritin, and interleukin-6) showing negative trends in most patients. Analysis of inflammatory biomarkers evolution highlighted 2 biomarker profiles related to the presence or absence of superinfection at the time of CAT implementation. In this case series of severe COVID-19 patients, 3 patients died - irreversible lung fibrosis, complications of critical hypoxemia before ECMO induction and complications of systemic anticoagulation were the causes. This case series aimed to contribute to the body of evidence substantiating CAT utilization in hyperinflammatory patients, namely, COVID-19 patients requiring ECMO rescue.","container-title":"Blood purification","DOI":"10.1159/000518712","issue":"9","page":"1-7","title":"Cytokine Adsorption Therapy during Extracorporeal Membrane Oxygenation in Adult Patients with COVID-19.","volume":"51","author":[{"family":"Rodeia","given":"Simão C; Martins","suffix":"Francisca Lopes; Fortuna, Philip; Bento, Luís"}],"issued":{"date-parts":[["2021"]]}}},{"id":124,"uris":["http://zotero.org/users/local/L5HAWlIW/items/PXLFIR4H"],"itemData":{"id":124,"type":"article-journal","abstract":"Introduction:\n              Severe cases of the COVID-19 are often associated with the development of a fulminant sepsis-like state with a concomitant cytokine release syndrome. Recently, immunomodulating approaches to treat such a hyperinflammation have come into focus, including the use of new extracorporeal organ support therapies such as CytoSorb hemoadsorption designed to remove cytokines and other circulating mediators from blood.\n            \n            \n              Patients and methods:\n              Thirteen critically ill COVID-19 patients with ARDS who received either ECMO therapy and/or CRRT with concomitant multiple organ failure were included. Hemoadsorption therapy was initiated once the patient had established—or was at high risk of developing—a hyperinflammatory state with marked hemodynamic instability or progressive lung failure. Levels of inflammatory markers, vasopressor requirements, oxygenation, and ventilation parameters were measured, as well as clinically relevant outcome measures.\n            \n            \n              Results:\n              Combined therapy was associated with a significant reduction in inflammatory mediators, hemodynamic stabilization with a concomitant decrease in requirements for vasoactive substances, and a pronounced improvement in lung function and the need for ventilatory support. Treatment appeared safe and well-tolerated.\n            \n            \n              Conclusions:\n              In this case series of SARS-CoV-2 infected patients admitted to the intensive care unit with ARDS, we report effective interleukin (IL)-6 removal, reduced norepinephrine requirement, and improved lung function while receiving adjuvant, extracorporeal hemoadsorption therapy in the context of a multimodal treatment approach. The presented protocol for CytoSorb initiation may be a good foundation for the development of further prospective studies in the field and may eventually also be applied to other forms of hyperinflammatory ARDS.","container-title":"The International Journal of Artificial Organs","DOI":"10.1177/03913988211030517","ISSN":"0391-3988, 1724-6040","issue":"10","journalAbbreviation":"Int J Artif Organs","language":"en","page":"694-702","source":"DOI.org (Crossref)","title":"Adjuvant hemoadsorption therapy in patients with severe COVID-19 and related organ failure requiring CRRT or ECMO therapy: A case series","title-short":"Adjuvant hemoadsorption therapy in patients with severe COVID-19 and related organ failure requiring CRRT or ECMO therapy","volume":"44","author":[{"family":"Wunderlich-Sperl","given":"Florian"},{"family":"Kautzky","given":"Sebastian"},{"family":"Pickem","given":"Christian"},{"family":"Hörmann","given":"Christoph"}],"issued":{"date-parts":[["2021",10]]}}}],"schema":"https://github.com/citation-style-language/schema/raw/master/csl-citation.json"} </w:instrText>
      </w:r>
      <w:r w:rsidR="00B869AB" w:rsidRPr="00483D15">
        <w:rPr>
          <w:lang w:val="en-US"/>
        </w:rPr>
        <w:fldChar w:fldCharType="separate"/>
      </w:r>
      <w:r w:rsidR="000E3931" w:rsidRPr="000E3931">
        <w:rPr>
          <w:rFonts w:cs="Times New Roman"/>
          <w:kern w:val="0"/>
        </w:rPr>
        <w:t>[70–72,76,78,82,88,91]</w:t>
      </w:r>
      <w:r w:rsidR="00B869AB" w:rsidRPr="00483D15">
        <w:rPr>
          <w:lang w:val="en-US"/>
        </w:rPr>
        <w:fldChar w:fldCharType="end"/>
      </w:r>
      <w:r w:rsidRPr="00483D15">
        <w:rPr>
          <w:lang w:val="en-US"/>
        </w:rPr>
        <w:t xml:space="preserve"> were also significantly reduced after HA therapy, with a mean difference of −1.63 mg/L (95% CI: −3.05 to −0.21; I² = 96%; p = 0.030)</w:t>
      </w:r>
      <w:r w:rsidR="00F00785" w:rsidRPr="00483D15">
        <w:rPr>
          <w:lang w:val="en-US"/>
        </w:rPr>
        <w:t xml:space="preserve"> shown on </w:t>
      </w:r>
      <w:r w:rsidR="00EC5226">
        <w:rPr>
          <w:lang w:val="en-US"/>
        </w:rPr>
        <w:fldChar w:fldCharType="begin"/>
      </w:r>
      <w:r w:rsidR="00EC5226">
        <w:rPr>
          <w:lang w:val="en-US"/>
        </w:rPr>
        <w:instrText xml:space="preserve"> REF _Ref204019746 \h </w:instrText>
      </w:r>
      <w:r w:rsidR="00EC5226">
        <w:rPr>
          <w:lang w:val="en-US"/>
        </w:rPr>
      </w:r>
      <w:r w:rsidR="00EC5226">
        <w:rPr>
          <w:lang w:val="en-US"/>
        </w:rPr>
        <w:fldChar w:fldCharType="separate"/>
      </w:r>
      <w:proofErr w:type="spellStart"/>
      <w:r w:rsidR="007F7DB3">
        <w:t>Figure</w:t>
      </w:r>
      <w:proofErr w:type="spellEnd"/>
      <w:r w:rsidR="007F7DB3">
        <w:t xml:space="preserve"> </w:t>
      </w:r>
      <w:r w:rsidR="007F7DB3">
        <w:rPr>
          <w:noProof/>
        </w:rPr>
        <w:t>21</w:t>
      </w:r>
      <w:r w:rsidR="00EC5226">
        <w:rPr>
          <w:lang w:val="en-US"/>
        </w:rPr>
        <w:fldChar w:fldCharType="end"/>
      </w:r>
      <w:r w:rsidR="00F00785" w:rsidRPr="00483D15">
        <w:rPr>
          <w:lang w:val="en-US"/>
        </w:rPr>
        <w:t>B</w:t>
      </w:r>
      <w:r w:rsidRPr="00483D15">
        <w:rPr>
          <w:lang w:val="en-US"/>
        </w:rPr>
        <w:t>.</w:t>
      </w:r>
    </w:p>
    <w:p w14:paraId="2859E6D9" w14:textId="77777777" w:rsidR="00EC5226" w:rsidRDefault="008014FC" w:rsidP="00EC5226">
      <w:pPr>
        <w:keepNext/>
      </w:pPr>
      <w:r w:rsidRPr="00483D15">
        <w:rPr>
          <w:noProof/>
          <w:lang w:val="en-US"/>
        </w:rPr>
        <w:drawing>
          <wp:inline distT="0" distB="0" distL="0" distR="0" wp14:anchorId="03297640" wp14:editId="44E265A7">
            <wp:extent cx="5400040" cy="4197350"/>
            <wp:effectExtent l="19050" t="19050" r="10160" b="12700"/>
            <wp:docPr id="142509421" name="Picture 3"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09421" name="Picture 3" descr="A screenshot of a computer screen&#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40" cy="4197350"/>
                    </a:xfrm>
                    <a:prstGeom prst="rect">
                      <a:avLst/>
                    </a:prstGeom>
                    <a:noFill/>
                    <a:ln>
                      <a:solidFill>
                        <a:schemeClr val="tx1"/>
                      </a:solidFill>
                    </a:ln>
                  </pic:spPr>
                </pic:pic>
              </a:graphicData>
            </a:graphic>
          </wp:inline>
        </w:drawing>
      </w:r>
    </w:p>
    <w:p w14:paraId="05930B7D" w14:textId="22AA218E" w:rsidR="008014FC" w:rsidRPr="00483D15" w:rsidRDefault="00EC5226" w:rsidP="00EC5226">
      <w:pPr>
        <w:pStyle w:val="Caption"/>
        <w:rPr>
          <w:color w:val="4EA72E" w:themeColor="accent6"/>
          <w:lang w:val="en-US"/>
        </w:rPr>
      </w:pPr>
      <w:bookmarkStart w:id="79" w:name="_Ref204019746"/>
      <w:bookmarkStart w:id="80" w:name="_Toc204637074"/>
      <w:proofErr w:type="spellStart"/>
      <w:r>
        <w:t>Figure</w:t>
      </w:r>
      <w:proofErr w:type="spellEnd"/>
      <w:r>
        <w:t xml:space="preserve"> </w:t>
      </w:r>
      <w:fldSimple w:instr=" SEQ Figure \* ARABIC ">
        <w:r w:rsidR="007F7DB3">
          <w:rPr>
            <w:noProof/>
          </w:rPr>
          <w:t>21</w:t>
        </w:r>
      </w:fldSimple>
      <w:bookmarkEnd w:id="79"/>
      <w:r>
        <w:t xml:space="preserve"> - </w:t>
      </w:r>
      <w:r w:rsidRPr="00143E14">
        <w:t xml:space="preserve">Forest </w:t>
      </w:r>
      <w:proofErr w:type="spellStart"/>
      <w:r w:rsidRPr="00143E14">
        <w:t>plots</w:t>
      </w:r>
      <w:proofErr w:type="spellEnd"/>
      <w:r w:rsidRPr="00143E14">
        <w:t xml:space="preserve"> of </w:t>
      </w:r>
      <w:proofErr w:type="spellStart"/>
      <w:r w:rsidRPr="00143E14">
        <w:t>change</w:t>
      </w:r>
      <w:proofErr w:type="spellEnd"/>
      <w:r w:rsidRPr="00143E14">
        <w:t xml:space="preserve"> in </w:t>
      </w:r>
      <w:proofErr w:type="spellStart"/>
      <w:r w:rsidRPr="00143E14">
        <w:t>required</w:t>
      </w:r>
      <w:proofErr w:type="spellEnd"/>
      <w:r w:rsidRPr="00143E14">
        <w:t xml:space="preserve"> </w:t>
      </w:r>
      <w:proofErr w:type="spellStart"/>
      <w:r w:rsidRPr="00143E14">
        <w:t>dose</w:t>
      </w:r>
      <w:proofErr w:type="spellEnd"/>
      <w:r w:rsidRPr="00143E14">
        <w:t xml:space="preserve"> of NE (A) and </w:t>
      </w:r>
      <w:proofErr w:type="spellStart"/>
      <w:r w:rsidRPr="00143E14">
        <w:t>the</w:t>
      </w:r>
      <w:proofErr w:type="spellEnd"/>
      <w:r w:rsidRPr="00143E14">
        <w:t xml:space="preserve"> </w:t>
      </w:r>
      <w:proofErr w:type="spellStart"/>
      <w:r w:rsidRPr="00143E14">
        <w:t>level</w:t>
      </w:r>
      <w:proofErr w:type="spellEnd"/>
      <w:r w:rsidRPr="00143E14">
        <w:t xml:space="preserve"> of </w:t>
      </w:r>
      <w:proofErr w:type="spellStart"/>
      <w:r w:rsidRPr="00143E14">
        <w:t>rerum</w:t>
      </w:r>
      <w:proofErr w:type="spellEnd"/>
      <w:r w:rsidRPr="00143E14">
        <w:t xml:space="preserve"> </w:t>
      </w:r>
      <w:proofErr w:type="spellStart"/>
      <w:r w:rsidRPr="00143E14">
        <w:t>lactate</w:t>
      </w:r>
      <w:proofErr w:type="spellEnd"/>
      <w:r w:rsidRPr="00143E14">
        <w:t xml:space="preserve"> (B) </w:t>
      </w:r>
      <w:proofErr w:type="spellStart"/>
      <w:r w:rsidRPr="00143E14">
        <w:t>after</w:t>
      </w:r>
      <w:proofErr w:type="spellEnd"/>
      <w:r w:rsidRPr="00143E14">
        <w:t xml:space="preserve"> </w:t>
      </w:r>
      <w:proofErr w:type="spellStart"/>
      <w:r w:rsidRPr="00143E14">
        <w:t>hemoadsorption</w:t>
      </w:r>
      <w:proofErr w:type="spellEnd"/>
      <w:r w:rsidRPr="00143E14">
        <w:t xml:space="preserve"> </w:t>
      </w:r>
      <w:proofErr w:type="spellStart"/>
      <w:r w:rsidRPr="00143E14">
        <w:t>t</w:t>
      </w:r>
      <w:r>
        <w:t>herapy</w:t>
      </w:r>
      <w:proofErr w:type="spellEnd"/>
      <w:r w:rsidRPr="00143E14">
        <w:t>.</w:t>
      </w:r>
      <w:bookmarkEnd w:id="80"/>
    </w:p>
    <w:p w14:paraId="732C2FD5" w14:textId="77CFF898" w:rsidR="00F37CB9" w:rsidRPr="00483D15" w:rsidRDefault="00CF31B3" w:rsidP="0036711F">
      <w:pPr>
        <w:pStyle w:val="Heading4"/>
        <w:rPr>
          <w:lang w:val="en-US"/>
        </w:rPr>
      </w:pPr>
      <w:r w:rsidRPr="00483D15">
        <w:rPr>
          <w:lang w:val="en-US"/>
        </w:rPr>
        <w:t xml:space="preserve">8.2.4.3. </w:t>
      </w:r>
      <w:r w:rsidR="007973CE" w:rsidRPr="00483D15">
        <w:rPr>
          <w:lang w:val="en-US"/>
        </w:rPr>
        <w:t>Length of Stay and Mortality</w:t>
      </w:r>
    </w:p>
    <w:p w14:paraId="279D7E79" w14:textId="1047B62B" w:rsidR="00330FAF" w:rsidRPr="00483D15" w:rsidRDefault="00330FAF" w:rsidP="0036711F">
      <w:pPr>
        <w:rPr>
          <w:lang w:val="en-US"/>
        </w:rPr>
      </w:pPr>
      <w:r w:rsidRPr="00483D15">
        <w:rPr>
          <w:lang w:val="en-US"/>
        </w:rPr>
        <w:t>Based on data from three studies</w:t>
      </w:r>
      <w:r w:rsidR="00881419" w:rsidRPr="00483D15">
        <w:rPr>
          <w:lang w:val="en-US"/>
        </w:rPr>
        <w:fldChar w:fldCharType="begin"/>
      </w:r>
      <w:r w:rsidR="000E3931">
        <w:rPr>
          <w:lang w:val="en-US"/>
        </w:rPr>
        <w:instrText xml:space="preserve"> ADDIN ZOTERO_ITEM CSL_CITATION {"citationID":"0q4hF795","properties":{"formattedCitation":"[70,71,92]","plainCitation":"[70,71,92]","noteIndex":0},"citationItems":[{"id":162,"uris":["http://zotero.org/users/local/L5HAWlIW/items/ZEUANS5S"],"itemData":{"id":162,"type":"article-journal","abstract":"Background High morbidity and mortality are frequently reported in intensive care patients suffering from severe sepsis with systemic inflammation. With the development of severe respiratory failure, extracorporeal membrane oxygenation (ECMO) is often required. In this study, cytokine adsorption therapy in combination with ECMO is applied in patients with acute respiratory distress syndrome (ARDS) due to severe pneumogenic sepsis. The efficacy of this therapy is evaluated compared with a historical cohort without hemoadsorption therapy. Methods Between January and May 2018, combined high-flow venovenous ECMO and CytoSorb therapy (CytoSorb filter connected to ECMO circuit) was applied in patients (n = 13) with pneumogenic sepsis and ARDS. These patients were prospectively included (CytoSorb group). Data from patients (n = 7) with pneumogenic sepsis and ECMO therapy were retrospectively analyzed (control group). Results All patients survived in the CytoSorb group, where the 30-day mortality rate reached 57% in the control group. After CytoSorb therapy, we instantly observed a significant reduction in procalcitonin (PCT) and C-reactive protein (CRP) levels compared with the control group. Within 48 hours, the initial high doses of catecholamine could be weaned off only in the CytoSorb group. Conclusions Our results indicate that CytoSorb in combination with ECMO is an effective therapy to prevent escalation of sepsis with rapid weaning off high-dose catecholamine infusions and quick reduction in PCT and CRP levels. Optimal timing of immunomodulatory therapy and impact on ECMO-related inflammation still need to be furtherly investigated.","container-title":"The Thoracic and cardiovascular surgeon","DOI":"10.1055/s-0040-1708479","issue":"03","note":"publisher: Georg Thieme Verlag","page":"246-251","title":"Combined Use of CytoSorb and ECMO in Patients with Severe Pneumogenic Sepsis","volume":"69","author":[{"family":"Akil","given":"A; Ziegeler","suffix":"S; Reichelt, J; Rehers, Stephanie; Abdalla, Omer; Semik, Michael; Fischer, Stefan"}],"issued":{"date-parts":[["2020"]]}}},{"id":327,"uris":["http://zotero.org/users/local/L5HAWlIW/items/F8WHZXRB"],"itemData":{"id":327,"type":"article-journal","abstract":"&lt;AbstractText Label=\"OBJECTIVE\" NlmCategory=\"UNASSIGNED\"&gt;Patients with severe manifestations of COVID-19 might exhibit characteristics of a sepsis-like syndrome that can progress to multiple organ failure and ultimately death. Underlying mechanism have been explored and suggest a profound dysregulation of the immune system associated with hyperinflammation, hemodynamic instability and respiratory failure. Besides standard intensive care treatment, approaches modulating the dysregulated immune response, such as CytoSorb hemoadsorption, have been used. However, data of ECMO-dependent patients in comparison to a control cohort remain scarce.&lt;/AbstractText&gt; &lt;AbstractText Label=\"METHODS\" NlmCategory=\"UNASSIGNED\"&gt;Included were 26 critically ill COVID-19 patients requiring high-flow veno-venous extracorporeal membrane oxygenation (high-flow VV ECMO) therapy due to severe acute respiratory distress syndrome (ARDS), of whom 16 were additionally treated with an extracorporeal hemoadsorption device, and compared to a control group of 10 patients. Assessed were levels of inflammatory markers, vasopressor requirements, oxygenation parameters, as well as clinically relevant outcome variables. Data were prospectively recorded and retrospectively analyzed.&lt;/AbstractText&gt; &lt;AbstractText Label=\"RESULTS\" NlmCategory=\"UNASSIGNED\"&gt;Treatment with the applied multimodal therapy approach resulted in a stabilization in hemodynamics, a control of the hyperinflammatory response as evidenced by a significant reduction in inflammatory mediators, as well as a marked improvement in lung function. No device related adverse events were observed while treatment appeared safe and feasible.&lt;/AbstractText&gt; &lt;AbstractText Label=\"CONCLUSION\" NlmCategory=\"UNASSIGNED\"&gt;Treatment of a critically ill COVID-19 ARDS patients with combined VV ECMO support and hemoadsorption therapy led to a rapid and sustained hemodynamic stabilization, a control of the uncontrolled inflammatory response and an improvement in oxygenation. Given these signals pointing toward a patient-oriented benefit of extracorporeal hemoadsorption therapy in those patients, future controlled, randomized studies should focus on the investigation of the appropriate timing and dosing of this promising treatment modality.&lt;/AbstractText&gt;","container-title":"The International journal of artificial organs","DOI":"10.1177/03913988221103287","issue":"7","page":"615-622","title":"Blood purification therapy in patients with severe COVID-19 requiring veno-venous ECMO therapy: A retrospective study.","volume":"45","author":[{"family":"Akil","given":"Ali; Ziegeler","suffix":"Stephan; Rehers, Stephanie; Ernst, Erik Christian; Fischer, Stefan"}],"issued":{"date-parts":[["2022"]]}}},{"id":907,"uris":["http://zotero.org/users/local/L5HAWlIW/items/KNHRHBVD"],"itemData":{"id":907,"type":"article-journal","container-title":"Therapeutic Apheresis and Dialysis","DOI":"10.1111/j.1744-9987.2012.01083.x","ISSN":"17449979","issue":"4","journalAbbreviation":"Ther Apher Dial","language":"en","page":"454-461","source":"DOI.org (Crossref)","title":"Effect on Extrapulmonary Sepsis-Induced Acute Lung Injury by Hemoperfusion With Neutral Microporous Resin Column: Effect of Hemoperfusion on Sepsis","title-short":"Effect on Extrapulmonary Sepsis-Induced Acute Lung Injury by Hemoperfusion With Neutral Microporous Resin Column","volume":"17","author":[{"family":"Huang","given":"Zhao"},{"family":"Wang","given":"Si-rong"},{"family":"Yang","given":"Zi-li"},{"family":"Liu","given":"Ji-yun"}],"issued":{"date-parts":[["2013",8]]}}}],"schema":"https://github.com/citation-style-language/schema/raw/master/csl-citation.json"} </w:instrText>
      </w:r>
      <w:r w:rsidR="00881419" w:rsidRPr="00483D15">
        <w:rPr>
          <w:lang w:val="en-US"/>
        </w:rPr>
        <w:fldChar w:fldCharType="separate"/>
      </w:r>
      <w:r w:rsidR="000E3931" w:rsidRPr="000E3931">
        <w:rPr>
          <w:rFonts w:cs="Times New Roman"/>
        </w:rPr>
        <w:t>[70,71,92]</w:t>
      </w:r>
      <w:r w:rsidR="00881419" w:rsidRPr="00483D15">
        <w:rPr>
          <w:lang w:val="en-US"/>
        </w:rPr>
        <w:fldChar w:fldCharType="end"/>
      </w:r>
      <w:r w:rsidRPr="00483D15">
        <w:rPr>
          <w:lang w:val="en-US"/>
        </w:rPr>
        <w:t xml:space="preserve"> (92</w:t>
      </w:r>
      <w:r w:rsidR="00B870B8">
        <w:rPr>
          <w:lang w:val="en-US"/>
        </w:rPr>
        <w:t xml:space="preserve"> patients</w:t>
      </w:r>
      <w:r w:rsidRPr="00483D15">
        <w:rPr>
          <w:lang w:val="en-US"/>
        </w:rPr>
        <w:t>) comparing HA therapy to standard medical treatment, no significant difference was observed in ICU length of stay (MD = 1.17 days; 95% CI: −18.61 to 20.96; I² = 64%; p = 0.82), with the certainty of evidence rated as low. Mortality data were reported in five studies</w:t>
      </w:r>
      <w:r w:rsidR="00AF3D1E" w:rsidRPr="00483D15">
        <w:rPr>
          <w:lang w:val="en-US"/>
        </w:rPr>
        <w:fldChar w:fldCharType="begin"/>
      </w:r>
      <w:r w:rsidR="000E3931">
        <w:rPr>
          <w:lang w:val="en-US"/>
        </w:rPr>
        <w:instrText xml:space="preserve"> ADDIN ZOTERO_ITEM CSL_CITATION {"citationID":"FIlZjoKF","properties":{"formattedCitation":"[24,70,71,85,92]","plainCitation":"[24,70,71,85,92]","noteIndex":0},"citationItems":[{"id":162,"uris":["http://zotero.org/users/local/L5HAWlIW/items/ZEUANS5S"],"itemData":{"id":162,"type":"article-journal","abstract":"Background High morbidity and mortality are frequently reported in intensive care patients suffering from severe sepsis with systemic inflammation. With the development of severe respiratory failure, extracorporeal membrane oxygenation (ECMO) is often required. In this study, cytokine adsorption therapy in combination with ECMO is applied in patients with acute respiratory distress syndrome (ARDS) due to severe pneumogenic sepsis. The efficacy of this therapy is evaluated compared with a historical cohort without hemoadsorption therapy. Methods Between January and May 2018, combined high-flow venovenous ECMO and CytoSorb therapy (CytoSorb filter connected to ECMO circuit) was applied in patients (n = 13) with pneumogenic sepsis and ARDS. These patients were prospectively included (CytoSorb group). Data from patients (n = 7) with pneumogenic sepsis and ECMO therapy were retrospectively analyzed (control group). Results All patients survived in the CytoSorb group, where the 30-day mortality rate reached 57% in the control group. After CytoSorb therapy, we instantly observed a significant reduction in procalcitonin (PCT) and C-reactive protein (CRP) levels compared with the control group. Within 48 hours, the initial high doses of catecholamine could be weaned off only in the CytoSorb group. Conclusions Our results indicate that CytoSorb in combination with ECMO is an effective therapy to prevent escalation of sepsis with rapid weaning off high-dose catecholamine infusions and quick reduction in PCT and CRP levels. Optimal timing of immunomodulatory therapy and impact on ECMO-related inflammation still need to be furtherly investigated.","container-title":"The Thoracic and cardiovascular surgeon","DOI":"10.1055/s-0040-1708479","issue":"03","note":"publisher: Georg Thieme Verlag","page":"246-251","title":"Combined Use of CytoSorb and ECMO in Patients with Severe Pneumogenic Sepsis","volume":"69","author":[{"family":"Akil","given":"A; Ziegeler","suffix":"S; Reichelt, J; Rehers, Stephanie; Abdalla, Omer; Semik, Michael; Fischer, Stefan"}],"issued":{"date-parts":[["2020"]]}}},{"id":327,"uris":["http://zotero.org/users/local/L5HAWlIW/items/F8WHZXRB"],"itemData":{"id":327,"type":"article-journal","abstract":"&lt;AbstractText Label=\"OBJECTIVE\" NlmCategory=\"UNASSIGNED\"&gt;Patients with severe manifestations of COVID-19 might exhibit characteristics of a sepsis-like syndrome that can progress to multiple organ failure and ultimately death. Underlying mechanism have been explored and suggest a profound dysregulation of the immune system associated with hyperinflammation, hemodynamic instability and respiratory failure. Besides standard intensive care treatment, approaches modulating the dysregulated immune response, such as CytoSorb hemoadsorption, have been used. However, data of ECMO-dependent patients in comparison to a control cohort remain scarce.&lt;/AbstractText&gt; &lt;AbstractText Label=\"METHODS\" NlmCategory=\"UNASSIGNED\"&gt;Included were 26 critically ill COVID-19 patients requiring high-flow veno-venous extracorporeal membrane oxygenation (high-flow VV ECMO) therapy due to severe acute respiratory distress syndrome (ARDS), of whom 16 were additionally treated with an extracorporeal hemoadsorption device, and compared to a control group of 10 patients. Assessed were levels of inflammatory markers, vasopressor requirements, oxygenation parameters, as well as clinically relevant outcome variables. Data were prospectively recorded and retrospectively analyzed.&lt;/AbstractText&gt; &lt;AbstractText Label=\"RESULTS\" NlmCategory=\"UNASSIGNED\"&gt;Treatment with the applied multimodal therapy approach resulted in a stabilization in hemodynamics, a control of the hyperinflammatory response as evidenced by a significant reduction in inflammatory mediators, as well as a marked improvement in lung function. No device related adverse events were observed while treatment appeared safe and feasible.&lt;/AbstractText&gt; &lt;AbstractText Label=\"CONCLUSION\" NlmCategory=\"UNASSIGNED\"&gt;Treatment of a critically ill COVID-19 ARDS patients with combined VV ECMO support and hemoadsorption therapy led to a rapid and sustained hemodynamic stabilization, a control of the uncontrolled inflammatory response and an improvement in oxygenation. Given these signals pointing toward a patient-oriented benefit of extracorporeal hemoadsorption therapy in those patients, future controlled, randomized studies should focus on the investigation of the appropriate timing and dosing of this promising treatment modality.&lt;/AbstractText&gt;","container-title":"The International journal of artificial organs","DOI":"10.1177/03913988221103287","issue":"7","page":"615-622","title":"Blood purification therapy in patients with severe COVID-19 requiring veno-venous ECMO therapy: A retrospective study.","volume":"45","author":[{"family":"Akil","given":"Ali; Ziegeler","suffix":"Stephan; Rehers, Stephanie; Ernst, Erik Christian; Fischer, Stefan"}],"issued":{"date-parts":[["2022"]]}}},{"id":1207,"uris":["http://zotero.org/users/local/L5HAWlIW/items/7L5U4LWW"],"itemData":{"id":1207,"type":"article-journal","abstract":"We report a preliminary experience of adjuvant therapy with Hemoperfusion (HP) in patients with Severe Acute Respiratory Syndrome-CoronaVirus 2 (SARS-CoV2)  pneumonia. Currently, there are no approved treatments for CoronaVirus Disease 19  (COVID-19); however, therapeutic strategies based on the preclinical evidence  include supportive measures, such as oxygen supplementation, antiviral, and  anticoagulant agents. Despite these treatments, 10% of patients worsen and  develop severe acute respiratory distress syndrome (ARDS). Since the pathogenic  mechanism of ARDS is an uncontrolled inflammatory state, we speculate that  removing inflammation effectors from blood may contrast tissue injury and improve  clinical outcome. In a scenario of dramatic medical emergency, we conducted an  observational study on 9 consecutive patients hospitalized in COVID Intensive  Care Unit, where 5 of 9 consecutive patients were treated with HP, due to the  emergency overload made it impossible to deliver blood purification in the other  4 patients. COVID-19 was diagnosed through the identification of virus sequences  by reverse transcription-PCR on respiratory specimens. All patients had severe  pneumonia requiring continuous positive airway pressure. HP was started in all  patients 6-7 days after hospital admission. The treated patients (T) received 2  consecutive sessions of HP using CytoSorb cartridge. Our results show a better  clinical course of T compared to control patients (C), in fact all T except 1  survived, and only 2 of them were intubated, while all C required intubation and  died. Lymphocytopenia worsened in C but not in T. C-reactive protein decreased in  both patients, but to a greater extent in T. IL-6, IL-8, and TNF-α decreased  after HP, IL-10 did not change. Respiratory function remained stable and did not  worsen in T compared to C. The limited sample size and observational study design  preclude a sound statement about the potential effectiveness of HP in COVID-19  patients, but our experience suggests a potential therapeutic role of adjuvant  CytoSorb HP in the early course of CO-VID-19 pneumonia. A randomized clinical  trial is ongoing.","container-title":"Blood purification","DOI":"10.1159/000511725","ISSN":"1421-9735 0253-5068","issue":"4-5","journalAbbreviation":"Blood Purif","language":"eng","license":"The Author(s). Published by S. Karger AG, Basel.","note":"publisher-place: Switzerland\nPMID: 33181508 \nPMCID: PMC7705939","page":"566-571","title":"Hemoperfusion with CytoSorb as Adjuvant Therapy in Critically Ill Patients with SARS-CoV2 Pneumonia.","volume":"50","author":[{"family":"Rampino","given":"Teresa"},{"family":"Gregorini","given":"Marilena"},{"family":"Perotti","given":"Luciano"},{"family":"Ferrari","given":"Fiorenza"},{"family":"Pattonieri","given":"Eleonora Francesca"},{"family":"Grignano","given":"Maria Antonietta"},{"family":"Valente","given":"Mauro"},{"family":"Garrone","given":"Alberto"},{"family":"Islam","given":"Tefik"},{"family":"Libetta","given":"Carmelo"},{"family":"Sepe","given":"Vincenzo"},{"family":"Albertini","given":"Riccardo"},{"family":"Bruno","given":"Raffaele"},{"family":"Belliato","given":"Mirko"}],"issued":{"date-parts":[["2021"]]}}},{"id":421,"uris":["http://zotero.org/users/local/L5HAWlIW/items/CBZA97VA"],"itemData":{"id":421,"type":"article-journal","abstract":"BACKGROUND: We sought to clarify the benefit of cytokine adsorption in patients with COVID-19 supported with venovenous extracorporeal membrane oxygenation (ECMO). METHODS: We did a single-centre, open-label, randomised, controlled trial to investigate cytokine adsorption in adult patients with severe COVID-19 pneumonia requiring ECMO. Patients with COVID-19 selected for ECMO at the Freiburg University Medical Center (Freiburg, Germany) were randomly assigned (1:1) to receive cytokine adsorption using the CytoSorb device or not. Randomisation was computer-generated, allocation was concealed by opaque, sequentially numbered sealed envelopes. The CytoSorb device was incorporated into the ECMO circuit before connection to the patient circuit, replaced every 24 h, and removed after 72 h. The primary endpoint was serum interleukin-6 (IL-6) concentration 72 h after initiation of ECMO analysed by intention to treat. Secondary endpoints included 30-day survival. The trial is registered with ClinicalTrials.gov (NCT04324528) and the German Clinical Trials Register (DRKS00021300) and is closed. FINDINGS: From March 29, 2020, to Dec 29, 2020, of 34 patients assessed for eligibility, 17 (50%) were treated with cytokine adsorption and 17 (50%) without. Median IL-6 decreased from 357·0 pg/mL to 98·6 pg/mL in patients randomly assigned to cytokine adsorption and from 289·0 pg/mL to 112·0 pg/mL in the control group after 72 h. One patient in each group died before 72 h. Adjusted mean log IL-6 concentrations after 72 h were 0·30 higher in the cytokine adsorption group (95% CI -0·70 to 1·30, p=0·54). Survival after 30 days was three (18%) of 17 with cytokine adsorption and 13 (76%) of 17 without cytokine adsorption (p=0·0016). INTERPRETATION: Early initiation of cytokine adsorption in patients with severe COVID-19 and venovenous ECMO did not reduce serum IL-6 and had a negative effect on survival. Cytokine adsorption should not be used during the first days of ECMO support in COVID-19. FUNDING: None.","container-title":"The Lancet. Respiratory medicine","DOI":"10.1016/s2213-2600(21)00177-6","issue":"7","page":"755-762","title":"Cytokine adsorption in patients with severe COVID-19 pneumonia requiring extracorporeal membrane oxygenation (CYCOV): a single centre, open-label, randomised, controlled trial.","volume":"9","author":[{"family":"Supady","given":"Alexander; Weber","suffix":"Enya; Rieder, Marina; Lother, Achim; Niklaus, Tim; Zahn, Timm; Frech, Franziska; Müller, Sissi; Kuhl, Moritz; Benk, Christoph; Maier, Sven; Trummer, Georg; Flügler, Annabelle; Krüger, Kirsten; Sekandarzad, Asieb; Stachon, Peter; Zotzmann, Viviane; Bode, Christoph; Biever, Paul; Staudacher, Dawid L.; Wengenmayer, Tobias; Graf, Erika; Duerschmied, Daniel"}],"issued":{"date-parts":[["2021"]]}}},{"id":907,"uris":["http://zotero.org/users/local/L5HAWlIW/items/KNHRHBVD"],"itemData":{"id":907,"type":"article-journal","container-title":"Therapeutic Apheresis and Dialysis","DOI":"10.1111/j.1744-9987.2012.01083.x","ISSN":"17449979","issue":"4","journalAbbreviation":"Ther Apher Dial","language":"en","page":"454-461","source":"DOI.org (Crossref)","title":"Effect on Extrapulmonary Sepsis-Induced Acute Lung Injury by Hemoperfusion With Neutral Microporous Resin Column: Effect of Hemoperfusion on Sepsis","title-short":"Effect on Extrapulmonary Sepsis-Induced Acute Lung Injury by Hemoperfusion With Neutral Microporous Resin Column","volume":"17","author":[{"family":"Huang","given":"Zhao"},{"family":"Wang","given":"Si-rong"},{"family":"Yang","given":"Zi-li"},{"family":"Liu","given":"Ji-yun"}],"issued":{"date-parts":[["2013",8]]}}}],"schema":"https://github.com/citation-style-language/schema/raw/master/csl-citation.json"} </w:instrText>
      </w:r>
      <w:r w:rsidR="00AF3D1E" w:rsidRPr="00483D15">
        <w:rPr>
          <w:lang w:val="en-US"/>
        </w:rPr>
        <w:fldChar w:fldCharType="separate"/>
      </w:r>
      <w:r w:rsidR="000E3931" w:rsidRPr="000E3931">
        <w:rPr>
          <w:rFonts w:cs="Times New Roman"/>
        </w:rPr>
        <w:t>[24,70,71,85,92]</w:t>
      </w:r>
      <w:r w:rsidR="00AF3D1E" w:rsidRPr="00483D15">
        <w:rPr>
          <w:lang w:val="en-US"/>
        </w:rPr>
        <w:fldChar w:fldCharType="end"/>
      </w:r>
      <w:r w:rsidRPr="00483D15">
        <w:rPr>
          <w:lang w:val="en-US"/>
        </w:rPr>
        <w:t xml:space="preserve">, </w:t>
      </w:r>
      <w:r w:rsidRPr="00483D15">
        <w:rPr>
          <w:lang w:val="en-US"/>
        </w:rPr>
        <w:lastRenderedPageBreak/>
        <w:t>though the follow-up periods ranged from 28 to 90 days. A non-significant reduction in mortality was noted in the HA group (RR = 0.64; 95% CI: 0.11 to 3.65; I² = 80%; p = 0.52), with the certainty of evidence rated as very low.</w:t>
      </w:r>
    </w:p>
    <w:p w14:paraId="3298165A" w14:textId="1948AD10" w:rsidR="00993575" w:rsidRPr="00483D15" w:rsidRDefault="00CF31B3" w:rsidP="00993575">
      <w:pPr>
        <w:pStyle w:val="Heading4"/>
        <w:rPr>
          <w:lang w:val="en-US"/>
        </w:rPr>
      </w:pPr>
      <w:r w:rsidRPr="00483D15">
        <w:rPr>
          <w:lang w:val="en-US"/>
        </w:rPr>
        <w:t>8.2.4.</w:t>
      </w:r>
      <w:r w:rsidR="00993575" w:rsidRPr="00483D15">
        <w:rPr>
          <w:lang w:val="en-US"/>
        </w:rPr>
        <w:t>4</w:t>
      </w:r>
      <w:r w:rsidRPr="00483D15">
        <w:rPr>
          <w:lang w:val="en-US"/>
        </w:rPr>
        <w:t xml:space="preserve">. </w:t>
      </w:r>
      <w:r w:rsidR="00903CA1" w:rsidRPr="00483D15">
        <w:rPr>
          <w:lang w:val="en-US"/>
        </w:rPr>
        <w:t xml:space="preserve">Safety </w:t>
      </w:r>
      <w:r w:rsidR="00993575" w:rsidRPr="00483D15">
        <w:rPr>
          <w:lang w:val="en-US"/>
        </w:rPr>
        <w:t>O</w:t>
      </w:r>
      <w:r w:rsidR="00903CA1" w:rsidRPr="00483D15">
        <w:rPr>
          <w:lang w:val="en-US"/>
        </w:rPr>
        <w:t xml:space="preserve">utcomes, and </w:t>
      </w:r>
      <w:r w:rsidR="00993575" w:rsidRPr="00483D15">
        <w:rPr>
          <w:lang w:val="en-US"/>
        </w:rPr>
        <w:t>S</w:t>
      </w:r>
      <w:r w:rsidR="00903CA1" w:rsidRPr="00483D15">
        <w:rPr>
          <w:lang w:val="en-US"/>
        </w:rPr>
        <w:t xml:space="preserve">ubgroup </w:t>
      </w:r>
      <w:r w:rsidR="00993575" w:rsidRPr="00483D15">
        <w:rPr>
          <w:lang w:val="en-US"/>
        </w:rPr>
        <w:t>A</w:t>
      </w:r>
      <w:r w:rsidR="00903CA1" w:rsidRPr="00483D15">
        <w:rPr>
          <w:lang w:val="en-US"/>
        </w:rPr>
        <w:t>nalysis</w:t>
      </w:r>
      <w:r w:rsidR="00993575" w:rsidRPr="00483D15">
        <w:rPr>
          <w:lang w:val="en-US"/>
        </w:rPr>
        <w:t xml:space="preserve"> </w:t>
      </w:r>
    </w:p>
    <w:p w14:paraId="3224670A" w14:textId="54FB7470" w:rsidR="0045623C" w:rsidRPr="00483D15" w:rsidRDefault="0085373C" w:rsidP="00A64458">
      <w:pPr>
        <w:rPr>
          <w:lang w:val="en-US"/>
        </w:rPr>
      </w:pPr>
      <w:r w:rsidRPr="00483D15">
        <w:rPr>
          <w:lang w:val="en-US"/>
        </w:rPr>
        <w:t>No device-related adverse events were reported, irrespective of the platform used.</w:t>
      </w:r>
      <w:r w:rsidR="00722719" w:rsidRPr="00483D15">
        <w:rPr>
          <w:lang w:val="en-US"/>
        </w:rPr>
        <w:t xml:space="preserve"> </w:t>
      </w:r>
      <w:r w:rsidR="00993575" w:rsidRPr="00483D15">
        <w:rPr>
          <w:lang w:val="en-US"/>
        </w:rPr>
        <w:t xml:space="preserve">We conducted a subgroup analysis on COVID-19 patients, and after excluding non-COVID cases, only the </w:t>
      </w:r>
      <w:proofErr w:type="spellStart"/>
      <w:r w:rsidR="00993575" w:rsidRPr="00483D15">
        <w:rPr>
          <w:lang w:val="en-US"/>
        </w:rPr>
        <w:t>PaO</w:t>
      </w:r>
      <w:proofErr w:type="spellEnd"/>
      <w:r w:rsidR="00993575" w:rsidRPr="00483D15">
        <w:rPr>
          <w:lang w:val="en-US"/>
        </w:rPr>
        <w:t>₂/</w:t>
      </w:r>
      <w:proofErr w:type="spellStart"/>
      <w:r w:rsidR="00993575" w:rsidRPr="00483D15">
        <w:rPr>
          <w:lang w:val="en-US"/>
        </w:rPr>
        <w:t>FiO</w:t>
      </w:r>
      <w:proofErr w:type="spellEnd"/>
      <w:r w:rsidR="00993575" w:rsidRPr="00483D15">
        <w:rPr>
          <w:lang w:val="en-US"/>
        </w:rPr>
        <w:t>₂ ratio improvement remained significantly better.</w:t>
      </w:r>
    </w:p>
    <w:p w14:paraId="23BE7422" w14:textId="1528FD71" w:rsidR="00F33BBE" w:rsidRPr="00483D15" w:rsidRDefault="00F65E19" w:rsidP="0036711F">
      <w:pPr>
        <w:pStyle w:val="Heading3"/>
        <w:rPr>
          <w:lang w:val="en-US"/>
        </w:rPr>
      </w:pPr>
      <w:bookmarkStart w:id="81" w:name="_Toc211542214"/>
      <w:r w:rsidRPr="00483D15">
        <w:rPr>
          <w:lang w:val="en-US"/>
        </w:rPr>
        <w:t xml:space="preserve">8.2.5. </w:t>
      </w:r>
      <w:r w:rsidR="00F33BBE" w:rsidRPr="00483D15">
        <w:rPr>
          <w:lang w:val="en-US"/>
        </w:rPr>
        <w:t>Risk of bias and quality of evidence assessment</w:t>
      </w:r>
      <w:bookmarkEnd w:id="81"/>
    </w:p>
    <w:p w14:paraId="3946DECE" w14:textId="7206DF97" w:rsidR="00DF4DA1" w:rsidRDefault="00A32A52" w:rsidP="0036711F">
      <w:pPr>
        <w:rPr>
          <w:lang w:val="en-US"/>
        </w:rPr>
      </w:pPr>
      <w:r w:rsidRPr="00483D15">
        <w:rPr>
          <w:lang w:val="en-US"/>
        </w:rPr>
        <w:t>The risk of bias evaluation</w:t>
      </w:r>
      <w:r w:rsidR="00C53F7F" w:rsidRPr="00483D15">
        <w:rPr>
          <w:lang w:val="en-US"/>
        </w:rPr>
        <w:t>s</w:t>
      </w:r>
      <w:r w:rsidR="00E66D6F">
        <w:rPr>
          <w:lang w:val="en-US"/>
        </w:rPr>
        <w:t xml:space="preserve"> (</w:t>
      </w:r>
      <w:r w:rsidR="00672970">
        <w:rPr>
          <w:lang w:val="en-US"/>
        </w:rPr>
        <w:fldChar w:fldCharType="begin"/>
      </w:r>
      <w:r w:rsidR="00672970">
        <w:rPr>
          <w:lang w:val="en-US"/>
        </w:rPr>
        <w:instrText xml:space="preserve"> REF _Ref204020766 \h </w:instrText>
      </w:r>
      <w:r w:rsidR="00672970">
        <w:rPr>
          <w:lang w:val="en-US"/>
        </w:rPr>
      </w:r>
      <w:r w:rsidR="00672970">
        <w:rPr>
          <w:lang w:val="en-US"/>
        </w:rPr>
        <w:fldChar w:fldCharType="separate"/>
      </w:r>
      <w:proofErr w:type="spellStart"/>
      <w:r w:rsidR="007F7DB3">
        <w:t>Figure</w:t>
      </w:r>
      <w:proofErr w:type="spellEnd"/>
      <w:r w:rsidR="007F7DB3">
        <w:t xml:space="preserve"> </w:t>
      </w:r>
      <w:r w:rsidR="007F7DB3">
        <w:rPr>
          <w:noProof/>
        </w:rPr>
        <w:t>22</w:t>
      </w:r>
      <w:r w:rsidR="00672970">
        <w:rPr>
          <w:lang w:val="en-US"/>
        </w:rPr>
        <w:fldChar w:fldCharType="end"/>
      </w:r>
      <w:r w:rsidR="00672970">
        <w:rPr>
          <w:lang w:val="en-US"/>
        </w:rPr>
        <w:t>)</w:t>
      </w:r>
      <w:r w:rsidR="00540B1D">
        <w:rPr>
          <w:lang w:val="en-US"/>
        </w:rPr>
        <w:t xml:space="preserve"> </w:t>
      </w:r>
      <w:r w:rsidR="00E84389">
        <w:rPr>
          <w:lang w:val="en-US"/>
        </w:rPr>
        <w:t>was</w:t>
      </w:r>
      <w:r w:rsidR="00540B1D">
        <w:rPr>
          <w:lang w:val="en-US"/>
        </w:rPr>
        <w:t xml:space="preserve"> assessed with the Rob-2 tool</w:t>
      </w:r>
      <w:r w:rsidR="009E5EC9">
        <w:rPr>
          <w:lang w:val="en-US"/>
        </w:rPr>
        <w:t xml:space="preserve"> (randomized controlled trials)</w:t>
      </w:r>
      <w:r w:rsidR="00540B1D">
        <w:rPr>
          <w:lang w:val="en-US"/>
        </w:rPr>
        <w:t xml:space="preserve">, </w:t>
      </w:r>
      <w:r w:rsidR="009E5EC9">
        <w:rPr>
          <w:lang w:val="en-US"/>
        </w:rPr>
        <w:t xml:space="preserve">with </w:t>
      </w:r>
      <w:r w:rsidR="00540B1D">
        <w:rPr>
          <w:lang w:val="en-US"/>
        </w:rPr>
        <w:t>the Robin</w:t>
      </w:r>
      <w:r w:rsidR="009E5EC9">
        <w:rPr>
          <w:lang w:val="en-US"/>
        </w:rPr>
        <w:t>s I tool (retrospective studies</w:t>
      </w:r>
      <w:r w:rsidR="00672970">
        <w:rPr>
          <w:lang w:val="en-US"/>
        </w:rPr>
        <w:t>).</w:t>
      </w:r>
    </w:p>
    <w:p w14:paraId="47F3A075" w14:textId="77777777" w:rsidR="001052F0" w:rsidRDefault="00540B1D" w:rsidP="001052F0">
      <w:pPr>
        <w:keepNext/>
      </w:pPr>
      <w:r w:rsidRPr="00540B1D">
        <w:rPr>
          <w:noProof/>
          <w:lang w:val="en-US"/>
        </w:rPr>
        <w:drawing>
          <wp:inline distT="0" distB="0" distL="0" distR="0" wp14:anchorId="17E0CAAF" wp14:editId="26657355">
            <wp:extent cx="5400040" cy="3075940"/>
            <wp:effectExtent l="19050" t="19050" r="10160" b="10160"/>
            <wp:docPr id="359710712" name="Picture 1"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10712" name="Picture 1" descr="A screenshot of a chart&#10;&#10;AI-generated content may be incorrect."/>
                    <pic:cNvPicPr/>
                  </pic:nvPicPr>
                  <pic:blipFill>
                    <a:blip r:embed="rId32"/>
                    <a:stretch>
                      <a:fillRect/>
                    </a:stretch>
                  </pic:blipFill>
                  <pic:spPr>
                    <a:xfrm>
                      <a:off x="0" y="0"/>
                      <a:ext cx="5400040" cy="3075940"/>
                    </a:xfrm>
                    <a:prstGeom prst="rect">
                      <a:avLst/>
                    </a:prstGeom>
                    <a:ln>
                      <a:solidFill>
                        <a:schemeClr val="tx1"/>
                      </a:solidFill>
                    </a:ln>
                  </pic:spPr>
                </pic:pic>
              </a:graphicData>
            </a:graphic>
          </wp:inline>
        </w:drawing>
      </w:r>
    </w:p>
    <w:p w14:paraId="207683A8" w14:textId="4BB21811" w:rsidR="00540B1D" w:rsidRDefault="001052F0" w:rsidP="001052F0">
      <w:pPr>
        <w:pStyle w:val="Caption"/>
      </w:pPr>
      <w:bookmarkStart w:id="82" w:name="_Ref204020766"/>
      <w:bookmarkStart w:id="83" w:name="_Toc204637075"/>
      <w:proofErr w:type="spellStart"/>
      <w:r>
        <w:t>Figure</w:t>
      </w:r>
      <w:proofErr w:type="spellEnd"/>
      <w:r>
        <w:t xml:space="preserve"> </w:t>
      </w:r>
      <w:fldSimple w:instr=" SEQ Figure \* ARABIC ">
        <w:r w:rsidR="007F7DB3">
          <w:rPr>
            <w:noProof/>
          </w:rPr>
          <w:t>22</w:t>
        </w:r>
      </w:fldSimple>
      <w:bookmarkEnd w:id="82"/>
      <w:r>
        <w:t xml:space="preserve"> - </w:t>
      </w:r>
      <w:proofErr w:type="spellStart"/>
      <w:r>
        <w:t>Risk</w:t>
      </w:r>
      <w:proofErr w:type="spellEnd"/>
      <w:r>
        <w:t xml:space="preserve"> of </w:t>
      </w:r>
      <w:proofErr w:type="spellStart"/>
      <w:r>
        <w:t>bias</w:t>
      </w:r>
      <w:proofErr w:type="spellEnd"/>
      <w:r>
        <w:t xml:space="preserve"> </w:t>
      </w:r>
      <w:proofErr w:type="spellStart"/>
      <w:r>
        <w:t>evaluation</w:t>
      </w:r>
      <w:proofErr w:type="spellEnd"/>
      <w:r>
        <w:t xml:space="preserve"> of </w:t>
      </w:r>
      <w:proofErr w:type="spellStart"/>
      <w:r>
        <w:t>the</w:t>
      </w:r>
      <w:proofErr w:type="spellEnd"/>
      <w:r>
        <w:t xml:space="preserve"> </w:t>
      </w:r>
      <w:proofErr w:type="spellStart"/>
      <w:r>
        <w:t>included</w:t>
      </w:r>
      <w:proofErr w:type="spellEnd"/>
      <w:r>
        <w:t xml:space="preserve"> </w:t>
      </w:r>
      <w:proofErr w:type="spellStart"/>
      <w:r>
        <w:t>RCTs</w:t>
      </w:r>
      <w:proofErr w:type="spellEnd"/>
      <w:r>
        <w:t xml:space="preserve"> (A) and </w:t>
      </w:r>
      <w:proofErr w:type="spellStart"/>
      <w:r>
        <w:t>retrospective</w:t>
      </w:r>
      <w:proofErr w:type="spellEnd"/>
      <w:r>
        <w:t xml:space="preserve"> </w:t>
      </w:r>
      <w:proofErr w:type="spellStart"/>
      <w:r>
        <w:t>studies</w:t>
      </w:r>
      <w:proofErr w:type="spellEnd"/>
      <w:r>
        <w:t xml:space="preserve"> (B) in </w:t>
      </w:r>
      <w:proofErr w:type="spellStart"/>
      <w:r>
        <w:t>Study</w:t>
      </w:r>
      <w:proofErr w:type="spellEnd"/>
      <w:r>
        <w:t xml:space="preserve"> II.</w:t>
      </w:r>
      <w:bookmarkEnd w:id="83"/>
    </w:p>
    <w:p w14:paraId="11543694" w14:textId="79E1538E" w:rsidR="00672970" w:rsidRPr="00672970" w:rsidRDefault="00672970" w:rsidP="00672970">
      <w:r>
        <w:rPr>
          <w:lang w:val="en-US"/>
        </w:rPr>
        <w:t>T</w:t>
      </w:r>
      <w:r w:rsidRPr="00483D15">
        <w:rPr>
          <w:lang w:val="en-US"/>
        </w:rPr>
        <w:t xml:space="preserve">he </w:t>
      </w:r>
      <w:r w:rsidRPr="003A2300">
        <w:t xml:space="preserve">JBI </w:t>
      </w:r>
      <w:proofErr w:type="spellStart"/>
      <w:r w:rsidRPr="003A2300">
        <w:t>critical</w:t>
      </w:r>
      <w:proofErr w:type="spellEnd"/>
      <w:r w:rsidRPr="003A2300">
        <w:t xml:space="preserve"> </w:t>
      </w:r>
      <w:proofErr w:type="spellStart"/>
      <w:r w:rsidRPr="003A2300">
        <w:t>appraisal</w:t>
      </w:r>
      <w:proofErr w:type="spellEnd"/>
      <w:r w:rsidRPr="003A2300">
        <w:t xml:space="preserve"> </w:t>
      </w:r>
      <w:proofErr w:type="spellStart"/>
      <w:r w:rsidRPr="003A2300">
        <w:t>tool</w:t>
      </w:r>
      <w:r>
        <w:t>s</w:t>
      </w:r>
      <w:proofErr w:type="spellEnd"/>
      <w:r>
        <w:t xml:space="preserve"> </w:t>
      </w:r>
      <w:proofErr w:type="spellStart"/>
      <w:r>
        <w:t>for</w:t>
      </w:r>
      <w:proofErr w:type="spellEnd"/>
      <w:r>
        <w:t xml:space="preserve"> </w:t>
      </w:r>
      <w:proofErr w:type="spellStart"/>
      <w:r>
        <w:t>case</w:t>
      </w:r>
      <w:proofErr w:type="spellEnd"/>
      <w:r>
        <w:t xml:space="preserve"> </w:t>
      </w:r>
      <w:proofErr w:type="spellStart"/>
      <w:r>
        <w:t>reports</w:t>
      </w:r>
      <w:proofErr w:type="spellEnd"/>
      <w:r>
        <w:t xml:space="preserve"> and </w:t>
      </w:r>
      <w:proofErr w:type="spellStart"/>
      <w:r>
        <w:t>case</w:t>
      </w:r>
      <w:proofErr w:type="spellEnd"/>
      <w:r>
        <w:t xml:space="preserve"> </w:t>
      </w:r>
      <w:proofErr w:type="spellStart"/>
      <w:r>
        <w:t>series</w:t>
      </w:r>
      <w:proofErr w:type="spellEnd"/>
      <w:r>
        <w:t xml:space="preserve"> (</w:t>
      </w:r>
      <w:proofErr w:type="spellStart"/>
      <w:r w:rsidR="00C64E41">
        <w:fldChar w:fldCharType="begin"/>
      </w:r>
      <w:r w:rsidR="00C64E41">
        <w:instrText xml:space="preserve"> REF _Ref204020796 \h </w:instrText>
      </w:r>
      <w:r w:rsidR="00C64E41">
        <w:fldChar w:fldCharType="separate"/>
      </w:r>
      <w:r w:rsidR="007F7DB3">
        <w:t>Figure</w:t>
      </w:r>
      <w:proofErr w:type="spellEnd"/>
      <w:r w:rsidR="007F7DB3">
        <w:t xml:space="preserve"> </w:t>
      </w:r>
      <w:r w:rsidR="007F7DB3">
        <w:rPr>
          <w:noProof/>
        </w:rPr>
        <w:t>23</w:t>
      </w:r>
      <w:r w:rsidR="00C64E41">
        <w:fldChar w:fldCharType="end"/>
      </w:r>
      <w:r w:rsidR="00C64E41">
        <w:t>)</w:t>
      </w:r>
      <w:r>
        <w:t>. The</w:t>
      </w:r>
      <w:r>
        <w:rPr>
          <w:lang w:val="en-US"/>
        </w:rPr>
        <w:t xml:space="preserve"> </w:t>
      </w:r>
      <w:r w:rsidRPr="00483D15">
        <w:rPr>
          <w:lang w:val="en-US"/>
        </w:rPr>
        <w:t xml:space="preserve">GRADE summary of findings for the included studies are </w:t>
      </w:r>
      <w:r>
        <w:rPr>
          <w:lang w:val="en-US"/>
        </w:rPr>
        <w:t xml:space="preserve">shown on </w:t>
      </w:r>
      <w:r w:rsidR="008526C0">
        <w:rPr>
          <w:lang w:val="en-US"/>
        </w:rPr>
        <w:fldChar w:fldCharType="begin"/>
      </w:r>
      <w:r w:rsidR="008526C0">
        <w:rPr>
          <w:lang w:val="en-US"/>
        </w:rPr>
        <w:instrText xml:space="preserve"> REF _Ref210333420 \h </w:instrText>
      </w:r>
      <w:r w:rsidR="008526C0">
        <w:rPr>
          <w:lang w:val="en-US"/>
        </w:rPr>
      </w:r>
      <w:r w:rsidR="008526C0">
        <w:rPr>
          <w:lang w:val="en-US"/>
        </w:rPr>
        <w:fldChar w:fldCharType="separate"/>
      </w:r>
      <w:proofErr w:type="spellStart"/>
      <w:r w:rsidR="008526C0">
        <w:t>Table</w:t>
      </w:r>
      <w:proofErr w:type="spellEnd"/>
      <w:r w:rsidR="008526C0">
        <w:t xml:space="preserve"> </w:t>
      </w:r>
      <w:r w:rsidR="008526C0">
        <w:rPr>
          <w:noProof/>
        </w:rPr>
        <w:t>4</w:t>
      </w:r>
      <w:r w:rsidR="008526C0">
        <w:rPr>
          <w:lang w:val="en-US"/>
        </w:rPr>
        <w:fldChar w:fldCharType="end"/>
      </w:r>
      <w:r w:rsidR="008526C0">
        <w:rPr>
          <w:lang w:val="en-US"/>
        </w:rPr>
        <w:t>.</w:t>
      </w:r>
    </w:p>
    <w:p w14:paraId="1643DCE2" w14:textId="0522D394" w:rsidR="009A708D" w:rsidRDefault="009A708D" w:rsidP="00540B1D">
      <w:pPr>
        <w:keepNext/>
      </w:pPr>
      <w:r w:rsidRPr="009A708D">
        <w:rPr>
          <w:noProof/>
        </w:rPr>
        <w:lastRenderedPageBreak/>
        <w:drawing>
          <wp:inline distT="0" distB="0" distL="0" distR="0" wp14:anchorId="241B99A0" wp14:editId="77C42322">
            <wp:extent cx="5722896" cy="2243666"/>
            <wp:effectExtent l="19050" t="19050" r="11430" b="23495"/>
            <wp:docPr id="1654661076" name="Picture 1" descr="A close-up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661076" name="Picture 1" descr="A close-up of a diagram&#10;&#10;AI-generated content may be incorrect."/>
                    <pic:cNvPicPr/>
                  </pic:nvPicPr>
                  <pic:blipFill>
                    <a:blip r:embed="rId33"/>
                    <a:stretch>
                      <a:fillRect/>
                    </a:stretch>
                  </pic:blipFill>
                  <pic:spPr>
                    <a:xfrm>
                      <a:off x="0" y="0"/>
                      <a:ext cx="5724807" cy="2244415"/>
                    </a:xfrm>
                    <a:prstGeom prst="rect">
                      <a:avLst/>
                    </a:prstGeom>
                    <a:ln>
                      <a:solidFill>
                        <a:schemeClr val="tx1"/>
                      </a:solidFill>
                    </a:ln>
                  </pic:spPr>
                </pic:pic>
              </a:graphicData>
            </a:graphic>
          </wp:inline>
        </w:drawing>
      </w:r>
    </w:p>
    <w:p w14:paraId="592F05E6" w14:textId="48CE16D8" w:rsidR="00540B1D" w:rsidRDefault="00540B1D" w:rsidP="00540B1D">
      <w:pPr>
        <w:pStyle w:val="Caption"/>
      </w:pPr>
      <w:bookmarkStart w:id="84" w:name="_Ref204020796"/>
      <w:bookmarkStart w:id="85" w:name="_Toc204637076"/>
      <w:proofErr w:type="spellStart"/>
      <w:r>
        <w:t>Figure</w:t>
      </w:r>
      <w:proofErr w:type="spellEnd"/>
      <w:r>
        <w:t xml:space="preserve"> </w:t>
      </w:r>
      <w:fldSimple w:instr=" SEQ Figure \* ARABIC ">
        <w:r w:rsidR="007F7DB3">
          <w:rPr>
            <w:noProof/>
          </w:rPr>
          <w:t>23</w:t>
        </w:r>
      </w:fldSimple>
      <w:bookmarkEnd w:id="84"/>
      <w:r>
        <w:t xml:space="preserve"> - </w:t>
      </w:r>
      <w:proofErr w:type="spellStart"/>
      <w:r>
        <w:t>Risk</w:t>
      </w:r>
      <w:proofErr w:type="spellEnd"/>
      <w:r>
        <w:t xml:space="preserve"> of </w:t>
      </w:r>
      <w:proofErr w:type="spellStart"/>
      <w:r>
        <w:t>bias</w:t>
      </w:r>
      <w:proofErr w:type="spellEnd"/>
      <w:r>
        <w:t xml:space="preserve"> </w:t>
      </w:r>
      <w:proofErr w:type="spellStart"/>
      <w:r>
        <w:t>assessment</w:t>
      </w:r>
      <w:proofErr w:type="spellEnd"/>
      <w:r>
        <w:t xml:space="preserve"> of </w:t>
      </w:r>
      <w:proofErr w:type="spellStart"/>
      <w:r>
        <w:t>the</w:t>
      </w:r>
      <w:proofErr w:type="spellEnd"/>
      <w:r>
        <w:t xml:space="preserve"> </w:t>
      </w:r>
      <w:proofErr w:type="spellStart"/>
      <w:r w:rsidR="00672970">
        <w:t>case</w:t>
      </w:r>
      <w:proofErr w:type="spellEnd"/>
      <w:r w:rsidR="00672970">
        <w:t xml:space="preserve"> </w:t>
      </w:r>
      <w:proofErr w:type="spellStart"/>
      <w:r w:rsidR="00672970">
        <w:t>series</w:t>
      </w:r>
      <w:proofErr w:type="spellEnd"/>
      <w:r>
        <w:t xml:space="preserve"> (A) and </w:t>
      </w:r>
      <w:proofErr w:type="spellStart"/>
      <w:r w:rsidR="00672970">
        <w:t>case</w:t>
      </w:r>
      <w:proofErr w:type="spellEnd"/>
      <w:r w:rsidR="00672970">
        <w:t xml:space="preserve"> </w:t>
      </w:r>
      <w:proofErr w:type="spellStart"/>
      <w:r w:rsidR="00672970">
        <w:t>reports</w:t>
      </w:r>
      <w:proofErr w:type="spellEnd"/>
      <w:r>
        <w:t xml:space="preserve"> (B)</w:t>
      </w:r>
      <w:r w:rsidR="00672970">
        <w:t xml:space="preserve"> </w:t>
      </w:r>
      <w:proofErr w:type="spellStart"/>
      <w:r w:rsidR="00672970">
        <w:t>included</w:t>
      </w:r>
      <w:proofErr w:type="spellEnd"/>
      <w:r w:rsidR="00672970">
        <w:t xml:space="preserve"> in </w:t>
      </w:r>
      <w:proofErr w:type="spellStart"/>
      <w:r w:rsidR="00672970">
        <w:t>Study</w:t>
      </w:r>
      <w:proofErr w:type="spellEnd"/>
      <w:r w:rsidR="00672970">
        <w:t xml:space="preserve"> II</w:t>
      </w:r>
      <w:r>
        <w:t>.</w:t>
      </w:r>
      <w:bookmarkEnd w:id="85"/>
    </w:p>
    <w:p w14:paraId="17ABB501" w14:textId="0ECDEE83" w:rsidR="00A73565" w:rsidRDefault="00A73565" w:rsidP="00A73565">
      <w:pPr>
        <w:pStyle w:val="Caption"/>
        <w:keepNext/>
      </w:pPr>
      <w:bookmarkStart w:id="86" w:name="_Ref210333420"/>
      <w:proofErr w:type="spellStart"/>
      <w:r>
        <w:t>Table</w:t>
      </w:r>
      <w:proofErr w:type="spellEnd"/>
      <w:r>
        <w:t xml:space="preserve"> </w:t>
      </w:r>
      <w:fldSimple w:instr=" SEQ Table \* ARABIC ">
        <w:r w:rsidR="007F7DB3">
          <w:rPr>
            <w:noProof/>
          </w:rPr>
          <w:t>4</w:t>
        </w:r>
      </w:fldSimple>
      <w:bookmarkEnd w:id="86"/>
      <w:r>
        <w:t xml:space="preserve"> - </w:t>
      </w:r>
      <w:r w:rsidRPr="00A67108">
        <w:t xml:space="preserve">GRADE </w:t>
      </w:r>
      <w:proofErr w:type="spellStart"/>
      <w:r w:rsidRPr="00A67108">
        <w:t>quality</w:t>
      </w:r>
      <w:proofErr w:type="spellEnd"/>
      <w:r w:rsidRPr="00A67108">
        <w:t xml:space="preserve"> </w:t>
      </w:r>
      <w:proofErr w:type="spellStart"/>
      <w:r w:rsidRPr="00A67108">
        <w:t>assessment</w:t>
      </w:r>
      <w:proofErr w:type="spellEnd"/>
      <w:r w:rsidRPr="00A67108">
        <w:t xml:space="preserve"> of </w:t>
      </w:r>
      <w:proofErr w:type="spellStart"/>
      <w:r w:rsidRPr="00A67108">
        <w:t>the</w:t>
      </w:r>
      <w:proofErr w:type="spellEnd"/>
      <w:r w:rsidRPr="00A67108">
        <w:t xml:space="preserve"> </w:t>
      </w:r>
      <w:proofErr w:type="spellStart"/>
      <w:r w:rsidRPr="00A67108">
        <w:t>included</w:t>
      </w:r>
      <w:proofErr w:type="spellEnd"/>
      <w:r w:rsidRPr="00A67108">
        <w:t xml:space="preserve"> </w:t>
      </w:r>
      <w:proofErr w:type="spellStart"/>
      <w:r w:rsidRPr="00A67108">
        <w:t>studies</w:t>
      </w:r>
      <w:proofErr w:type="spellEnd"/>
      <w:r w:rsidRPr="00A67108">
        <w:t xml:space="preserve"> in </w:t>
      </w:r>
      <w:proofErr w:type="spellStart"/>
      <w:r w:rsidRPr="00A67108">
        <w:t>Study</w:t>
      </w:r>
      <w:proofErr w:type="spellEnd"/>
      <w:r w:rsidRPr="00A67108">
        <w:t xml:space="preserve"> I</w:t>
      </w:r>
      <w:r>
        <w:t>I.</w:t>
      </w:r>
    </w:p>
    <w:tbl>
      <w:tblPr>
        <w:tblW w:w="5000" w:type="pct"/>
        <w:tblLayout w:type="fixed"/>
        <w:tblCellMar>
          <w:top w:w="60" w:type="dxa"/>
          <w:left w:w="60" w:type="dxa"/>
          <w:bottom w:w="60" w:type="dxa"/>
          <w:right w:w="60" w:type="dxa"/>
        </w:tblCellMar>
        <w:tblLook w:val="04A0" w:firstRow="1" w:lastRow="0" w:firstColumn="1" w:lastColumn="0" w:noHBand="0" w:noVBand="1"/>
      </w:tblPr>
      <w:tblGrid>
        <w:gridCol w:w="552"/>
        <w:gridCol w:w="575"/>
        <w:gridCol w:w="491"/>
        <w:gridCol w:w="751"/>
        <w:gridCol w:w="680"/>
        <w:gridCol w:w="654"/>
        <w:gridCol w:w="790"/>
        <w:gridCol w:w="864"/>
        <w:gridCol w:w="559"/>
        <w:gridCol w:w="495"/>
        <w:gridCol w:w="551"/>
        <w:gridCol w:w="858"/>
        <w:gridCol w:w="654"/>
      </w:tblGrid>
      <w:tr w:rsidR="00AD4A62" w14:paraId="1B39E865" w14:textId="77777777" w:rsidTr="00A73565">
        <w:trPr>
          <w:cantSplit/>
          <w:tblHeader/>
        </w:trPr>
        <w:tc>
          <w:tcPr>
            <w:tcW w:w="2651" w:type="pct"/>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9BD579F" w14:textId="77777777" w:rsidR="00AD4A62" w:rsidRDefault="00AD4A62" w:rsidP="00350225">
            <w:pPr>
              <w:spacing w:line="240" w:lineRule="auto"/>
              <w:jc w:val="center"/>
              <w:rPr>
                <w:rFonts w:ascii="Arial Narrow" w:eastAsia="Times New Roman" w:hAnsi="Arial Narrow"/>
                <w:b/>
                <w:bCs/>
                <w:color w:val="FFFFFF"/>
                <w:sz w:val="13"/>
                <w:szCs w:val="13"/>
              </w:rPr>
            </w:pPr>
            <w:proofErr w:type="spellStart"/>
            <w:r>
              <w:rPr>
                <w:rFonts w:ascii="Arial Narrow" w:eastAsia="Times New Roman" w:hAnsi="Arial Narrow"/>
                <w:b/>
                <w:bCs/>
                <w:color w:val="FFFFFF"/>
                <w:sz w:val="13"/>
                <w:szCs w:val="13"/>
              </w:rPr>
              <w:t>Certainty</w:t>
            </w:r>
            <w:proofErr w:type="spellEnd"/>
            <w:r>
              <w:rPr>
                <w:rFonts w:ascii="Arial Narrow" w:eastAsia="Times New Roman" w:hAnsi="Arial Narrow"/>
                <w:b/>
                <w:bCs/>
                <w:color w:val="FFFFFF"/>
                <w:sz w:val="13"/>
                <w:szCs w:val="13"/>
              </w:rPr>
              <w:t xml:space="preserve"> </w:t>
            </w:r>
            <w:proofErr w:type="spellStart"/>
            <w:r>
              <w:rPr>
                <w:rFonts w:ascii="Arial Narrow" w:eastAsia="Times New Roman" w:hAnsi="Arial Narrow"/>
                <w:b/>
                <w:bCs/>
                <w:color w:val="FFFFFF"/>
                <w:sz w:val="13"/>
                <w:szCs w:val="13"/>
              </w:rPr>
              <w:t>assessment</w:t>
            </w:r>
            <w:proofErr w:type="spellEnd"/>
          </w:p>
        </w:tc>
        <w:tc>
          <w:tcPr>
            <w:tcW w:w="840" w:type="pct"/>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FD75257" w14:textId="77777777" w:rsidR="00AD4A62" w:rsidRDefault="00AD4A62" w:rsidP="00350225">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xml:space="preserve">№ of </w:t>
            </w:r>
            <w:proofErr w:type="spellStart"/>
            <w:r>
              <w:rPr>
                <w:rFonts w:ascii="Arial Narrow" w:eastAsia="Times New Roman" w:hAnsi="Arial Narrow"/>
                <w:b/>
                <w:bCs/>
                <w:color w:val="FFFFFF"/>
                <w:sz w:val="13"/>
                <w:szCs w:val="13"/>
              </w:rPr>
              <w:t>patients</w:t>
            </w:r>
            <w:proofErr w:type="spellEnd"/>
          </w:p>
        </w:tc>
        <w:tc>
          <w:tcPr>
            <w:tcW w:w="617" w:type="pct"/>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27EBCCF" w14:textId="77777777" w:rsidR="00AD4A62" w:rsidRDefault="00AD4A62" w:rsidP="00350225">
            <w:pPr>
              <w:jc w:val="center"/>
              <w:rPr>
                <w:rFonts w:ascii="Arial Narrow" w:eastAsia="Times New Roman" w:hAnsi="Arial Narrow"/>
                <w:b/>
                <w:bCs/>
                <w:color w:val="FFFFFF"/>
                <w:sz w:val="13"/>
                <w:szCs w:val="13"/>
              </w:rPr>
            </w:pPr>
            <w:proofErr w:type="spellStart"/>
            <w:r>
              <w:rPr>
                <w:rFonts w:ascii="Arial Narrow" w:eastAsia="Times New Roman" w:hAnsi="Arial Narrow"/>
                <w:b/>
                <w:bCs/>
                <w:color w:val="FFFFFF"/>
                <w:sz w:val="13"/>
                <w:szCs w:val="13"/>
              </w:rPr>
              <w:t>Effect</w:t>
            </w:r>
            <w:proofErr w:type="spellEnd"/>
          </w:p>
        </w:tc>
        <w:tc>
          <w:tcPr>
            <w:tcW w:w="506"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31E0594" w14:textId="77777777" w:rsidR="00AD4A62" w:rsidRDefault="00AD4A62" w:rsidP="00350225">
            <w:pPr>
              <w:jc w:val="center"/>
              <w:rPr>
                <w:rFonts w:ascii="Arial Narrow" w:eastAsia="Times New Roman" w:hAnsi="Arial Narrow"/>
                <w:b/>
                <w:bCs/>
                <w:color w:val="FFFFFF"/>
                <w:sz w:val="13"/>
                <w:szCs w:val="13"/>
              </w:rPr>
            </w:pPr>
            <w:proofErr w:type="spellStart"/>
            <w:r>
              <w:rPr>
                <w:rFonts w:ascii="Arial Narrow" w:eastAsia="Times New Roman" w:hAnsi="Arial Narrow"/>
                <w:b/>
                <w:bCs/>
                <w:color w:val="FFFFFF"/>
                <w:sz w:val="13"/>
                <w:szCs w:val="13"/>
              </w:rPr>
              <w:t>Certainty</w:t>
            </w:r>
            <w:proofErr w:type="spellEnd"/>
          </w:p>
        </w:tc>
        <w:tc>
          <w:tcPr>
            <w:tcW w:w="386"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1C8B0F8" w14:textId="77777777" w:rsidR="00AD4A62" w:rsidRDefault="00AD4A62" w:rsidP="00350225">
            <w:pPr>
              <w:jc w:val="center"/>
              <w:rPr>
                <w:rFonts w:ascii="Arial Narrow" w:eastAsia="Times New Roman" w:hAnsi="Arial Narrow"/>
                <w:b/>
                <w:bCs/>
                <w:color w:val="FFFFFF"/>
                <w:sz w:val="13"/>
                <w:szCs w:val="13"/>
              </w:rPr>
            </w:pPr>
            <w:proofErr w:type="spellStart"/>
            <w:r>
              <w:rPr>
                <w:rFonts w:ascii="Arial Narrow" w:eastAsia="Times New Roman" w:hAnsi="Arial Narrow"/>
                <w:b/>
                <w:bCs/>
                <w:color w:val="FFFFFF"/>
                <w:sz w:val="13"/>
                <w:szCs w:val="13"/>
              </w:rPr>
              <w:t>Importance</w:t>
            </w:r>
            <w:proofErr w:type="spellEnd"/>
          </w:p>
        </w:tc>
      </w:tr>
      <w:tr w:rsidR="00AD4A62" w14:paraId="7AE46956" w14:textId="77777777" w:rsidTr="00A73565">
        <w:trPr>
          <w:cantSplit/>
          <w:tblHeader/>
        </w:trPr>
        <w:tc>
          <w:tcPr>
            <w:tcW w:w="326"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7953D6A" w14:textId="77777777" w:rsidR="00AD4A62" w:rsidRDefault="00AD4A62" w:rsidP="00350225">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xml:space="preserve">№ of </w:t>
            </w:r>
            <w:proofErr w:type="spellStart"/>
            <w:r>
              <w:rPr>
                <w:rFonts w:ascii="Arial Narrow" w:eastAsia="Times New Roman" w:hAnsi="Arial Narrow"/>
                <w:b/>
                <w:bCs/>
                <w:color w:val="FFFFFF"/>
                <w:sz w:val="13"/>
                <w:szCs w:val="13"/>
              </w:rPr>
              <w:t>studies</w:t>
            </w:r>
            <w:proofErr w:type="spellEnd"/>
          </w:p>
        </w:tc>
        <w:tc>
          <w:tcPr>
            <w:tcW w:w="339"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361D35D" w14:textId="77777777" w:rsidR="00AD4A62" w:rsidRDefault="00AD4A62" w:rsidP="00350225">
            <w:pPr>
              <w:jc w:val="center"/>
              <w:rPr>
                <w:rFonts w:ascii="Arial Narrow" w:eastAsia="Times New Roman" w:hAnsi="Arial Narrow"/>
                <w:b/>
                <w:bCs/>
                <w:color w:val="FFFFFF"/>
                <w:sz w:val="13"/>
                <w:szCs w:val="13"/>
              </w:rPr>
            </w:pPr>
            <w:proofErr w:type="spellStart"/>
            <w:r>
              <w:rPr>
                <w:rFonts w:ascii="Arial Narrow" w:eastAsia="Times New Roman" w:hAnsi="Arial Narrow"/>
                <w:b/>
                <w:bCs/>
                <w:color w:val="FFFFFF"/>
                <w:sz w:val="13"/>
                <w:szCs w:val="13"/>
              </w:rPr>
              <w:t>Study</w:t>
            </w:r>
            <w:proofErr w:type="spellEnd"/>
            <w:r>
              <w:rPr>
                <w:rFonts w:ascii="Arial Narrow" w:eastAsia="Times New Roman" w:hAnsi="Arial Narrow"/>
                <w:b/>
                <w:bCs/>
                <w:color w:val="FFFFFF"/>
                <w:sz w:val="13"/>
                <w:szCs w:val="13"/>
              </w:rPr>
              <w:t xml:space="preserve"> design</w:t>
            </w:r>
          </w:p>
        </w:tc>
        <w:tc>
          <w:tcPr>
            <w:tcW w:w="29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AF6780A" w14:textId="77777777" w:rsidR="00AD4A62" w:rsidRDefault="00AD4A62" w:rsidP="00350225">
            <w:pPr>
              <w:jc w:val="center"/>
              <w:rPr>
                <w:rFonts w:ascii="Arial Narrow" w:eastAsia="Times New Roman" w:hAnsi="Arial Narrow"/>
                <w:b/>
                <w:bCs/>
                <w:color w:val="FFFFFF"/>
                <w:sz w:val="13"/>
                <w:szCs w:val="13"/>
              </w:rPr>
            </w:pPr>
            <w:proofErr w:type="spellStart"/>
            <w:r>
              <w:rPr>
                <w:rFonts w:ascii="Arial Narrow" w:eastAsia="Times New Roman" w:hAnsi="Arial Narrow"/>
                <w:b/>
                <w:bCs/>
                <w:color w:val="FFFFFF"/>
                <w:sz w:val="13"/>
                <w:szCs w:val="13"/>
              </w:rPr>
              <w:t>Risk</w:t>
            </w:r>
            <w:proofErr w:type="spellEnd"/>
            <w:r>
              <w:rPr>
                <w:rFonts w:ascii="Arial Narrow" w:eastAsia="Times New Roman" w:hAnsi="Arial Narrow"/>
                <w:b/>
                <w:bCs/>
                <w:color w:val="FFFFFF"/>
                <w:sz w:val="13"/>
                <w:szCs w:val="13"/>
              </w:rPr>
              <w:t xml:space="preserve"> of </w:t>
            </w:r>
            <w:proofErr w:type="spellStart"/>
            <w:r>
              <w:rPr>
                <w:rFonts w:ascii="Arial Narrow" w:eastAsia="Times New Roman" w:hAnsi="Arial Narrow"/>
                <w:b/>
                <w:bCs/>
                <w:color w:val="FFFFFF"/>
                <w:sz w:val="13"/>
                <w:szCs w:val="13"/>
              </w:rPr>
              <w:t>bias</w:t>
            </w:r>
            <w:proofErr w:type="spellEnd"/>
          </w:p>
        </w:tc>
        <w:tc>
          <w:tcPr>
            <w:tcW w:w="443"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C680EFF" w14:textId="77777777" w:rsidR="00AD4A62" w:rsidRDefault="00AD4A62" w:rsidP="00350225">
            <w:pPr>
              <w:jc w:val="center"/>
              <w:rPr>
                <w:rFonts w:ascii="Arial Narrow" w:eastAsia="Times New Roman" w:hAnsi="Arial Narrow"/>
                <w:b/>
                <w:bCs/>
                <w:color w:val="FFFFFF"/>
                <w:sz w:val="13"/>
                <w:szCs w:val="13"/>
              </w:rPr>
            </w:pPr>
            <w:proofErr w:type="spellStart"/>
            <w:r>
              <w:rPr>
                <w:rFonts w:ascii="Arial Narrow" w:eastAsia="Times New Roman" w:hAnsi="Arial Narrow"/>
                <w:b/>
                <w:bCs/>
                <w:color w:val="FFFFFF"/>
                <w:sz w:val="13"/>
                <w:szCs w:val="13"/>
              </w:rPr>
              <w:t>Inconsistency</w:t>
            </w:r>
            <w:proofErr w:type="spellEnd"/>
          </w:p>
        </w:tc>
        <w:tc>
          <w:tcPr>
            <w:tcW w:w="401"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F140DC1" w14:textId="77777777" w:rsidR="00AD4A62" w:rsidRDefault="00AD4A62" w:rsidP="00350225">
            <w:pPr>
              <w:jc w:val="center"/>
              <w:rPr>
                <w:rFonts w:ascii="Arial Narrow" w:eastAsia="Times New Roman" w:hAnsi="Arial Narrow"/>
                <w:b/>
                <w:bCs/>
                <w:color w:val="FFFFFF"/>
                <w:sz w:val="13"/>
                <w:szCs w:val="13"/>
              </w:rPr>
            </w:pPr>
            <w:proofErr w:type="spellStart"/>
            <w:r>
              <w:rPr>
                <w:rFonts w:ascii="Arial Narrow" w:eastAsia="Times New Roman" w:hAnsi="Arial Narrow"/>
                <w:b/>
                <w:bCs/>
                <w:color w:val="FFFFFF"/>
                <w:sz w:val="13"/>
                <w:szCs w:val="13"/>
              </w:rPr>
              <w:t>Indirectness</w:t>
            </w:r>
            <w:proofErr w:type="spellEnd"/>
          </w:p>
        </w:tc>
        <w:tc>
          <w:tcPr>
            <w:tcW w:w="386"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F6052AC" w14:textId="77777777" w:rsidR="00AD4A62" w:rsidRDefault="00AD4A62" w:rsidP="00350225">
            <w:pPr>
              <w:jc w:val="center"/>
              <w:rPr>
                <w:rFonts w:ascii="Arial Narrow" w:eastAsia="Times New Roman" w:hAnsi="Arial Narrow"/>
                <w:b/>
                <w:bCs/>
                <w:color w:val="FFFFFF"/>
                <w:sz w:val="13"/>
                <w:szCs w:val="13"/>
              </w:rPr>
            </w:pPr>
            <w:proofErr w:type="spellStart"/>
            <w:r>
              <w:rPr>
                <w:rFonts w:ascii="Arial Narrow" w:eastAsia="Times New Roman" w:hAnsi="Arial Narrow"/>
                <w:b/>
                <w:bCs/>
                <w:color w:val="FFFFFF"/>
                <w:sz w:val="13"/>
                <w:szCs w:val="13"/>
              </w:rPr>
              <w:t>Imprecision</w:t>
            </w:r>
            <w:proofErr w:type="spellEnd"/>
          </w:p>
        </w:tc>
        <w:tc>
          <w:tcPr>
            <w:tcW w:w="466"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D5054BE" w14:textId="77777777" w:rsidR="00AD4A62" w:rsidRDefault="00AD4A62" w:rsidP="00350225">
            <w:pPr>
              <w:jc w:val="center"/>
              <w:rPr>
                <w:rFonts w:ascii="Arial Narrow" w:eastAsia="Times New Roman" w:hAnsi="Arial Narrow"/>
                <w:b/>
                <w:bCs/>
                <w:color w:val="FFFFFF"/>
                <w:sz w:val="13"/>
                <w:szCs w:val="13"/>
              </w:rPr>
            </w:pPr>
            <w:proofErr w:type="spellStart"/>
            <w:r>
              <w:rPr>
                <w:rFonts w:ascii="Arial Narrow" w:eastAsia="Times New Roman" w:hAnsi="Arial Narrow"/>
                <w:b/>
                <w:bCs/>
                <w:color w:val="FFFFFF"/>
                <w:sz w:val="13"/>
                <w:szCs w:val="13"/>
              </w:rPr>
              <w:t>Other</w:t>
            </w:r>
            <w:proofErr w:type="spellEnd"/>
            <w:r>
              <w:rPr>
                <w:rFonts w:ascii="Arial Narrow" w:eastAsia="Times New Roman" w:hAnsi="Arial Narrow"/>
                <w:b/>
                <w:bCs/>
                <w:color w:val="FFFFFF"/>
                <w:sz w:val="13"/>
                <w:szCs w:val="13"/>
              </w:rPr>
              <w:t xml:space="preserve"> </w:t>
            </w:r>
            <w:proofErr w:type="spellStart"/>
            <w:r>
              <w:rPr>
                <w:rFonts w:ascii="Arial Narrow" w:eastAsia="Times New Roman" w:hAnsi="Arial Narrow"/>
                <w:b/>
                <w:bCs/>
                <w:color w:val="FFFFFF"/>
                <w:sz w:val="13"/>
                <w:szCs w:val="13"/>
              </w:rPr>
              <w:t>considerations</w:t>
            </w:r>
            <w:proofErr w:type="spellEnd"/>
          </w:p>
        </w:tc>
        <w:tc>
          <w:tcPr>
            <w:tcW w:w="51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DCFE913" w14:textId="77777777" w:rsidR="00AD4A62" w:rsidRDefault="00AD4A62" w:rsidP="00350225">
            <w:pPr>
              <w:jc w:val="center"/>
              <w:rPr>
                <w:rFonts w:ascii="Arial Narrow" w:eastAsia="Times New Roman" w:hAnsi="Arial Narrow"/>
                <w:b/>
                <w:bCs/>
                <w:color w:val="FFFFFF"/>
                <w:sz w:val="13"/>
                <w:szCs w:val="13"/>
              </w:rPr>
            </w:pPr>
            <w:proofErr w:type="spellStart"/>
            <w:r>
              <w:rPr>
                <w:rFonts w:ascii="Arial Narrow" w:eastAsia="Times New Roman" w:hAnsi="Arial Narrow"/>
                <w:b/>
                <w:bCs/>
                <w:color w:val="FFFFFF"/>
                <w:sz w:val="13"/>
                <w:szCs w:val="13"/>
              </w:rPr>
              <w:t>Hemoadsorption</w:t>
            </w:r>
            <w:proofErr w:type="spellEnd"/>
            <w:r>
              <w:rPr>
                <w:rFonts w:ascii="Arial Narrow" w:eastAsia="Times New Roman" w:hAnsi="Arial Narrow"/>
                <w:b/>
                <w:bCs/>
                <w:color w:val="FFFFFF"/>
                <w:sz w:val="13"/>
                <w:szCs w:val="13"/>
              </w:rPr>
              <w:t xml:space="preserve"> (HA) </w:t>
            </w:r>
            <w:proofErr w:type="spellStart"/>
            <w:r>
              <w:rPr>
                <w:rFonts w:ascii="Arial Narrow" w:eastAsia="Times New Roman" w:hAnsi="Arial Narrow"/>
                <w:b/>
                <w:bCs/>
                <w:color w:val="FFFFFF"/>
                <w:sz w:val="13"/>
                <w:szCs w:val="13"/>
              </w:rPr>
              <w:t>therapy</w:t>
            </w:r>
            <w:proofErr w:type="spellEnd"/>
          </w:p>
        </w:tc>
        <w:tc>
          <w:tcPr>
            <w:tcW w:w="33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C2D2EAD" w14:textId="77777777" w:rsidR="00AD4A62" w:rsidRDefault="00AD4A62" w:rsidP="00350225">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xml:space="preserve">Standard </w:t>
            </w:r>
            <w:proofErr w:type="spellStart"/>
            <w:r>
              <w:rPr>
                <w:rFonts w:ascii="Arial Narrow" w:eastAsia="Times New Roman" w:hAnsi="Arial Narrow"/>
                <w:b/>
                <w:bCs/>
                <w:color w:val="FFFFFF"/>
                <w:sz w:val="13"/>
                <w:szCs w:val="13"/>
              </w:rPr>
              <w:t>medical</w:t>
            </w:r>
            <w:proofErr w:type="spellEnd"/>
            <w:r>
              <w:rPr>
                <w:rFonts w:ascii="Arial Narrow" w:eastAsia="Times New Roman" w:hAnsi="Arial Narrow"/>
                <w:b/>
                <w:bCs/>
                <w:color w:val="FFFFFF"/>
                <w:sz w:val="13"/>
                <w:szCs w:val="13"/>
              </w:rPr>
              <w:t xml:space="preserve"> </w:t>
            </w:r>
            <w:proofErr w:type="spellStart"/>
            <w:r>
              <w:rPr>
                <w:rFonts w:ascii="Arial Narrow" w:eastAsia="Times New Roman" w:hAnsi="Arial Narrow"/>
                <w:b/>
                <w:bCs/>
                <w:color w:val="FFFFFF"/>
                <w:sz w:val="13"/>
                <w:szCs w:val="13"/>
              </w:rPr>
              <w:t>treatment</w:t>
            </w:r>
            <w:proofErr w:type="spellEnd"/>
          </w:p>
        </w:tc>
        <w:tc>
          <w:tcPr>
            <w:tcW w:w="292"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C64AC90" w14:textId="77777777" w:rsidR="00AD4A62" w:rsidRDefault="00AD4A62" w:rsidP="00350225">
            <w:pPr>
              <w:jc w:val="center"/>
              <w:rPr>
                <w:rFonts w:ascii="Arial Narrow" w:eastAsia="Times New Roman" w:hAnsi="Arial Narrow"/>
                <w:b/>
                <w:bCs/>
                <w:color w:val="FFFFFF"/>
                <w:sz w:val="13"/>
                <w:szCs w:val="13"/>
              </w:rPr>
            </w:pPr>
            <w:proofErr w:type="spellStart"/>
            <w:r>
              <w:rPr>
                <w:rFonts w:ascii="Arial Narrow" w:eastAsia="Times New Roman" w:hAnsi="Arial Narrow"/>
                <w:b/>
                <w:bCs/>
                <w:color w:val="FFFFFF"/>
                <w:sz w:val="13"/>
                <w:szCs w:val="13"/>
              </w:rPr>
              <w:t>Relative</w:t>
            </w:r>
            <w:proofErr w:type="spellEnd"/>
            <w:r>
              <w:rPr>
                <w:rFonts w:ascii="Arial Narrow" w:eastAsia="Times New Roman" w:hAnsi="Arial Narrow"/>
                <w:b/>
                <w:bCs/>
                <w:color w:val="FFFFFF"/>
                <w:sz w:val="13"/>
                <w:szCs w:val="13"/>
              </w:rPr>
              <w:br/>
              <w:t>(95% CI)</w:t>
            </w:r>
          </w:p>
        </w:tc>
        <w:tc>
          <w:tcPr>
            <w:tcW w:w="325"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D3D0B1E" w14:textId="77777777" w:rsidR="00AD4A62" w:rsidRDefault="00AD4A62" w:rsidP="00350225">
            <w:pPr>
              <w:jc w:val="center"/>
              <w:rPr>
                <w:rFonts w:ascii="Arial Narrow" w:eastAsia="Times New Roman" w:hAnsi="Arial Narrow"/>
                <w:b/>
                <w:bCs/>
                <w:color w:val="FFFFFF"/>
                <w:sz w:val="13"/>
                <w:szCs w:val="13"/>
              </w:rPr>
            </w:pPr>
            <w:proofErr w:type="spellStart"/>
            <w:r>
              <w:rPr>
                <w:rFonts w:ascii="Arial Narrow" w:eastAsia="Times New Roman" w:hAnsi="Arial Narrow"/>
                <w:b/>
                <w:bCs/>
                <w:color w:val="FFFFFF"/>
                <w:sz w:val="13"/>
                <w:szCs w:val="13"/>
              </w:rPr>
              <w:t>Absolute</w:t>
            </w:r>
            <w:proofErr w:type="spellEnd"/>
            <w:r>
              <w:rPr>
                <w:rFonts w:ascii="Arial Narrow" w:eastAsia="Times New Roman" w:hAnsi="Arial Narrow"/>
                <w:b/>
                <w:bCs/>
                <w:color w:val="FFFFFF"/>
                <w:sz w:val="13"/>
                <w:szCs w:val="13"/>
              </w:rPr>
              <w:br/>
              <w:t>(95% CI)</w:t>
            </w:r>
          </w:p>
        </w:tc>
        <w:tc>
          <w:tcPr>
            <w:tcW w:w="506" w:type="pct"/>
            <w:vMerge/>
            <w:tcBorders>
              <w:top w:val="single" w:sz="12" w:space="0" w:color="FFFFFF"/>
              <w:left w:val="single" w:sz="12" w:space="0" w:color="FFFFFF"/>
              <w:bottom w:val="single" w:sz="12" w:space="0" w:color="FFFFFF"/>
              <w:right w:val="single" w:sz="12" w:space="0" w:color="FFFFFF"/>
            </w:tcBorders>
            <w:vAlign w:val="center"/>
            <w:hideMark/>
          </w:tcPr>
          <w:p w14:paraId="59E07303" w14:textId="77777777" w:rsidR="00AD4A62" w:rsidRDefault="00AD4A62" w:rsidP="00350225">
            <w:pPr>
              <w:rPr>
                <w:rFonts w:ascii="Arial Narrow" w:eastAsia="Times New Roman" w:hAnsi="Arial Narrow"/>
                <w:b/>
                <w:bCs/>
                <w:color w:val="FFFFFF"/>
                <w:sz w:val="13"/>
                <w:szCs w:val="13"/>
              </w:rPr>
            </w:pPr>
          </w:p>
        </w:tc>
        <w:tc>
          <w:tcPr>
            <w:tcW w:w="386" w:type="pct"/>
            <w:vMerge/>
            <w:tcBorders>
              <w:top w:val="single" w:sz="12" w:space="0" w:color="FFFFFF"/>
              <w:left w:val="single" w:sz="12" w:space="0" w:color="FFFFFF"/>
              <w:bottom w:val="single" w:sz="12" w:space="0" w:color="FFFFFF"/>
              <w:right w:val="single" w:sz="12" w:space="0" w:color="FFFFFF"/>
            </w:tcBorders>
            <w:vAlign w:val="center"/>
            <w:hideMark/>
          </w:tcPr>
          <w:p w14:paraId="12A91056" w14:textId="77777777" w:rsidR="00AD4A62" w:rsidRDefault="00AD4A62" w:rsidP="00350225">
            <w:pPr>
              <w:rPr>
                <w:rFonts w:ascii="Arial Narrow" w:eastAsia="Times New Roman" w:hAnsi="Arial Narrow"/>
                <w:b/>
                <w:bCs/>
                <w:color w:val="FFFFFF"/>
                <w:sz w:val="13"/>
                <w:szCs w:val="13"/>
              </w:rPr>
            </w:pPr>
          </w:p>
        </w:tc>
      </w:tr>
      <w:tr w:rsidR="00AD4A62" w14:paraId="41E78597" w14:textId="77777777" w:rsidTr="00A73565">
        <w:trPr>
          <w:cantSplit/>
        </w:trPr>
        <w:tc>
          <w:tcPr>
            <w:tcW w:w="5000" w:type="pct"/>
            <w:gridSpan w:val="13"/>
            <w:shd w:val="clear" w:color="auto" w:fill="FFFFFF"/>
            <w:tcMar>
              <w:top w:w="75" w:type="dxa"/>
              <w:left w:w="60" w:type="dxa"/>
              <w:bottom w:w="60" w:type="dxa"/>
              <w:right w:w="60" w:type="dxa"/>
            </w:tcMar>
            <w:vAlign w:val="center"/>
            <w:hideMark/>
          </w:tcPr>
          <w:p w14:paraId="27AA0DFE" w14:textId="77777777" w:rsidR="00AD4A62" w:rsidRDefault="00AD4A62" w:rsidP="00350225">
            <w:pPr>
              <w:rPr>
                <w:rFonts w:ascii="Arial Narrow" w:eastAsia="Times New Roman" w:hAnsi="Arial Narrow"/>
                <w:b/>
                <w:bCs/>
                <w:color w:val="000000"/>
                <w:sz w:val="13"/>
                <w:szCs w:val="13"/>
              </w:rPr>
            </w:pPr>
            <w:proofErr w:type="spellStart"/>
            <w:r>
              <w:rPr>
                <w:rStyle w:val="label"/>
                <w:rFonts w:ascii="Arial Narrow" w:eastAsia="Times New Roman" w:hAnsi="Arial Narrow"/>
                <w:b/>
                <w:bCs/>
                <w:color w:val="000000"/>
                <w:sz w:val="13"/>
                <w:szCs w:val="13"/>
              </w:rPr>
              <w:t>Vasopressor</w:t>
            </w:r>
            <w:proofErr w:type="spellEnd"/>
            <w:r>
              <w:rPr>
                <w:rStyle w:val="label"/>
                <w:rFonts w:ascii="Arial Narrow" w:eastAsia="Times New Roman" w:hAnsi="Arial Narrow"/>
                <w:b/>
                <w:bCs/>
                <w:color w:val="000000"/>
                <w:sz w:val="13"/>
                <w:szCs w:val="13"/>
              </w:rPr>
              <w:t xml:space="preserve"> </w:t>
            </w:r>
            <w:proofErr w:type="spellStart"/>
            <w:r>
              <w:rPr>
                <w:rStyle w:val="label"/>
                <w:rFonts w:ascii="Arial Narrow" w:eastAsia="Times New Roman" w:hAnsi="Arial Narrow"/>
                <w:b/>
                <w:bCs/>
                <w:color w:val="000000"/>
                <w:sz w:val="13"/>
                <w:szCs w:val="13"/>
              </w:rPr>
              <w:t>support</w:t>
            </w:r>
            <w:proofErr w:type="spellEnd"/>
            <w:r>
              <w:rPr>
                <w:rStyle w:val="label"/>
                <w:rFonts w:ascii="Arial Narrow" w:eastAsia="Times New Roman" w:hAnsi="Arial Narrow"/>
                <w:b/>
                <w:bCs/>
                <w:color w:val="000000"/>
                <w:sz w:val="13"/>
                <w:szCs w:val="13"/>
              </w:rPr>
              <w:t xml:space="preserve"> (</w:t>
            </w:r>
            <w:proofErr w:type="spellStart"/>
            <w:r>
              <w:rPr>
                <w:rStyle w:val="label"/>
                <w:rFonts w:ascii="Arial Narrow" w:eastAsia="Times New Roman" w:hAnsi="Arial Narrow"/>
                <w:b/>
                <w:bCs/>
                <w:color w:val="000000"/>
                <w:sz w:val="13"/>
                <w:szCs w:val="13"/>
              </w:rPr>
              <w:t>norepinephrine</w:t>
            </w:r>
            <w:proofErr w:type="spellEnd"/>
            <w:r>
              <w:rPr>
                <w:rStyle w:val="label"/>
                <w:rFonts w:ascii="Arial Narrow" w:eastAsia="Times New Roman" w:hAnsi="Arial Narrow"/>
                <w:b/>
                <w:bCs/>
                <w:color w:val="000000"/>
                <w:sz w:val="13"/>
                <w:szCs w:val="13"/>
              </w:rPr>
              <w:t>)</w:t>
            </w:r>
          </w:p>
        </w:tc>
      </w:tr>
      <w:tr w:rsidR="00AD4A62" w14:paraId="7A71CBE6" w14:textId="77777777" w:rsidTr="00A73565">
        <w:trPr>
          <w:cantSplit/>
          <w:trHeight w:val="486"/>
        </w:trPr>
        <w:tc>
          <w:tcPr>
            <w:tcW w:w="326" w:type="pct"/>
            <w:tcBorders>
              <w:top w:val="single" w:sz="6" w:space="0" w:color="000000"/>
              <w:left w:val="single" w:sz="6" w:space="0" w:color="000000"/>
              <w:bottom w:val="single" w:sz="6" w:space="0" w:color="000000"/>
              <w:right w:val="single" w:sz="6" w:space="0" w:color="000000"/>
            </w:tcBorders>
            <w:hideMark/>
          </w:tcPr>
          <w:p w14:paraId="69FCD429" w14:textId="77777777" w:rsidR="00AD4A62" w:rsidRDefault="00AD4A62" w:rsidP="00350225">
            <w:pPr>
              <w:jc w:val="center"/>
              <w:rPr>
                <w:rFonts w:ascii="Arial Narrow" w:eastAsia="Times New Roman" w:hAnsi="Arial Narrow"/>
                <w:sz w:val="13"/>
                <w:szCs w:val="13"/>
              </w:rPr>
            </w:pPr>
            <w:r>
              <w:rPr>
                <w:rFonts w:ascii="Arial Narrow" w:eastAsia="Times New Roman" w:hAnsi="Arial Narrow"/>
                <w:sz w:val="13"/>
                <w:szCs w:val="13"/>
              </w:rPr>
              <w:t>4</w:t>
            </w:r>
          </w:p>
        </w:tc>
        <w:tc>
          <w:tcPr>
            <w:tcW w:w="339" w:type="pct"/>
            <w:tcBorders>
              <w:top w:val="single" w:sz="6" w:space="0" w:color="000000"/>
              <w:left w:val="single" w:sz="6" w:space="0" w:color="000000"/>
              <w:bottom w:val="single" w:sz="6" w:space="0" w:color="000000"/>
              <w:right w:val="single" w:sz="6" w:space="0" w:color="000000"/>
            </w:tcBorders>
            <w:hideMark/>
          </w:tcPr>
          <w:p w14:paraId="23640EB9" w14:textId="77777777" w:rsidR="00AD4A62" w:rsidRDefault="00AD4A62" w:rsidP="00350225">
            <w:pPr>
              <w:jc w:val="center"/>
              <w:rPr>
                <w:rFonts w:ascii="Arial Narrow" w:eastAsia="Times New Roman" w:hAnsi="Arial Narrow"/>
                <w:sz w:val="13"/>
                <w:szCs w:val="13"/>
              </w:rPr>
            </w:pPr>
            <w:proofErr w:type="spellStart"/>
            <w:r>
              <w:rPr>
                <w:rFonts w:ascii="Arial Narrow" w:eastAsia="Times New Roman" w:hAnsi="Arial Narrow"/>
                <w:sz w:val="13"/>
                <w:szCs w:val="13"/>
              </w:rPr>
              <w:t>observational</w:t>
            </w:r>
            <w:proofErr w:type="spellEnd"/>
            <w:r>
              <w:rPr>
                <w:rFonts w:ascii="Arial Narrow" w:eastAsia="Times New Roman" w:hAnsi="Arial Narrow"/>
                <w:sz w:val="13"/>
                <w:szCs w:val="13"/>
              </w:rPr>
              <w:t xml:space="preserve"> </w:t>
            </w:r>
            <w:proofErr w:type="spellStart"/>
            <w:r>
              <w:rPr>
                <w:rFonts w:ascii="Arial Narrow" w:eastAsia="Times New Roman" w:hAnsi="Arial Narrow"/>
                <w:sz w:val="13"/>
                <w:szCs w:val="13"/>
              </w:rPr>
              <w:t>studies</w:t>
            </w:r>
            <w:proofErr w:type="spellEnd"/>
          </w:p>
        </w:tc>
        <w:tc>
          <w:tcPr>
            <w:tcW w:w="290" w:type="pct"/>
            <w:tcBorders>
              <w:top w:val="single" w:sz="6" w:space="0" w:color="000000"/>
              <w:left w:val="single" w:sz="6" w:space="0" w:color="000000"/>
              <w:bottom w:val="single" w:sz="6" w:space="0" w:color="000000"/>
              <w:right w:val="single" w:sz="6" w:space="0" w:color="000000"/>
            </w:tcBorders>
            <w:hideMark/>
          </w:tcPr>
          <w:p w14:paraId="5095A347" w14:textId="77777777" w:rsidR="00AD4A62" w:rsidRDefault="00AD4A62" w:rsidP="00350225">
            <w:pPr>
              <w:jc w:val="center"/>
              <w:rPr>
                <w:rFonts w:ascii="Arial Narrow" w:eastAsia="Times New Roman" w:hAnsi="Arial Narrow"/>
                <w:sz w:val="13"/>
                <w:szCs w:val="13"/>
              </w:rPr>
            </w:pPr>
            <w:proofErr w:type="spellStart"/>
            <w:r>
              <w:rPr>
                <w:rFonts w:ascii="Arial Narrow" w:eastAsia="Times New Roman" w:hAnsi="Arial Narrow"/>
                <w:sz w:val="13"/>
                <w:szCs w:val="13"/>
              </w:rPr>
              <w:t>very</w:t>
            </w:r>
            <w:proofErr w:type="spellEnd"/>
            <w:r>
              <w:rPr>
                <w:rFonts w:ascii="Arial Narrow" w:eastAsia="Times New Roman" w:hAnsi="Arial Narrow"/>
                <w:sz w:val="13"/>
                <w:szCs w:val="13"/>
              </w:rPr>
              <w:t xml:space="preserve"> </w:t>
            </w:r>
            <w:proofErr w:type="spellStart"/>
            <w:r>
              <w:rPr>
                <w:rFonts w:ascii="Arial Narrow" w:eastAsia="Times New Roman" w:hAnsi="Arial Narrow"/>
                <w:sz w:val="13"/>
                <w:szCs w:val="13"/>
              </w:rPr>
              <w:t>serious</w:t>
            </w:r>
            <w:r>
              <w:rPr>
                <w:rFonts w:ascii="Arial Narrow" w:eastAsia="Times New Roman" w:hAnsi="Arial Narrow"/>
                <w:sz w:val="13"/>
                <w:szCs w:val="13"/>
                <w:vertAlign w:val="superscript"/>
              </w:rPr>
              <w:t>a</w:t>
            </w:r>
            <w:proofErr w:type="spellEnd"/>
          </w:p>
        </w:tc>
        <w:tc>
          <w:tcPr>
            <w:tcW w:w="443" w:type="pct"/>
            <w:tcBorders>
              <w:top w:val="single" w:sz="6" w:space="0" w:color="000000"/>
              <w:left w:val="single" w:sz="6" w:space="0" w:color="000000"/>
              <w:bottom w:val="single" w:sz="6" w:space="0" w:color="000000"/>
              <w:right w:val="single" w:sz="6" w:space="0" w:color="000000"/>
            </w:tcBorders>
            <w:hideMark/>
          </w:tcPr>
          <w:p w14:paraId="17A5ACFE" w14:textId="77777777" w:rsidR="00AD4A62" w:rsidRDefault="00AD4A62" w:rsidP="00350225">
            <w:pPr>
              <w:jc w:val="center"/>
              <w:rPr>
                <w:rFonts w:ascii="Arial Narrow" w:eastAsia="Times New Roman" w:hAnsi="Arial Narrow"/>
                <w:sz w:val="13"/>
                <w:szCs w:val="13"/>
              </w:rPr>
            </w:pPr>
            <w:proofErr w:type="spellStart"/>
            <w:r>
              <w:rPr>
                <w:rFonts w:ascii="Arial Narrow" w:eastAsia="Times New Roman" w:hAnsi="Arial Narrow"/>
                <w:sz w:val="13"/>
                <w:szCs w:val="13"/>
              </w:rPr>
              <w:t>not</w:t>
            </w:r>
            <w:proofErr w:type="spellEnd"/>
            <w:r>
              <w:rPr>
                <w:rFonts w:ascii="Arial Narrow" w:eastAsia="Times New Roman" w:hAnsi="Arial Narrow"/>
                <w:sz w:val="13"/>
                <w:szCs w:val="13"/>
              </w:rPr>
              <w:t xml:space="preserve"> </w:t>
            </w:r>
            <w:proofErr w:type="spellStart"/>
            <w:r>
              <w:rPr>
                <w:rFonts w:ascii="Arial Narrow" w:eastAsia="Times New Roman" w:hAnsi="Arial Narrow"/>
                <w:sz w:val="13"/>
                <w:szCs w:val="13"/>
              </w:rPr>
              <w:t>serious</w:t>
            </w:r>
            <w:proofErr w:type="spellEnd"/>
          </w:p>
        </w:tc>
        <w:tc>
          <w:tcPr>
            <w:tcW w:w="401" w:type="pct"/>
            <w:tcBorders>
              <w:top w:val="single" w:sz="6" w:space="0" w:color="000000"/>
              <w:left w:val="single" w:sz="6" w:space="0" w:color="000000"/>
              <w:bottom w:val="single" w:sz="6" w:space="0" w:color="000000"/>
              <w:right w:val="single" w:sz="6" w:space="0" w:color="000000"/>
            </w:tcBorders>
            <w:hideMark/>
          </w:tcPr>
          <w:p w14:paraId="49EA49B7" w14:textId="77777777" w:rsidR="00AD4A62" w:rsidRDefault="00AD4A62" w:rsidP="00350225">
            <w:pPr>
              <w:jc w:val="center"/>
              <w:rPr>
                <w:rFonts w:ascii="Arial Narrow" w:eastAsia="Times New Roman" w:hAnsi="Arial Narrow"/>
                <w:sz w:val="13"/>
                <w:szCs w:val="13"/>
              </w:rPr>
            </w:pPr>
            <w:proofErr w:type="spellStart"/>
            <w:r>
              <w:rPr>
                <w:rFonts w:ascii="Arial Narrow" w:eastAsia="Times New Roman" w:hAnsi="Arial Narrow"/>
                <w:sz w:val="13"/>
                <w:szCs w:val="13"/>
              </w:rPr>
              <w:t>not</w:t>
            </w:r>
            <w:proofErr w:type="spellEnd"/>
            <w:r>
              <w:rPr>
                <w:rFonts w:ascii="Arial Narrow" w:eastAsia="Times New Roman" w:hAnsi="Arial Narrow"/>
                <w:sz w:val="13"/>
                <w:szCs w:val="13"/>
              </w:rPr>
              <w:t xml:space="preserve"> </w:t>
            </w:r>
            <w:proofErr w:type="spellStart"/>
            <w:r>
              <w:rPr>
                <w:rFonts w:ascii="Arial Narrow" w:eastAsia="Times New Roman" w:hAnsi="Arial Narrow"/>
                <w:sz w:val="13"/>
                <w:szCs w:val="13"/>
              </w:rPr>
              <w:t>serious</w:t>
            </w:r>
            <w:proofErr w:type="spellEnd"/>
          </w:p>
        </w:tc>
        <w:tc>
          <w:tcPr>
            <w:tcW w:w="386" w:type="pct"/>
            <w:tcBorders>
              <w:top w:val="single" w:sz="6" w:space="0" w:color="000000"/>
              <w:left w:val="single" w:sz="6" w:space="0" w:color="000000"/>
              <w:bottom w:val="single" w:sz="6" w:space="0" w:color="000000"/>
              <w:right w:val="single" w:sz="6" w:space="0" w:color="000000"/>
            </w:tcBorders>
            <w:hideMark/>
          </w:tcPr>
          <w:p w14:paraId="3C1AC939" w14:textId="77777777" w:rsidR="00AD4A62" w:rsidRDefault="00AD4A62" w:rsidP="00350225">
            <w:pPr>
              <w:jc w:val="center"/>
              <w:rPr>
                <w:rFonts w:ascii="Arial Narrow" w:eastAsia="Times New Roman" w:hAnsi="Arial Narrow"/>
                <w:sz w:val="13"/>
                <w:szCs w:val="13"/>
              </w:rPr>
            </w:pPr>
            <w:proofErr w:type="spellStart"/>
            <w:r>
              <w:rPr>
                <w:rFonts w:ascii="Arial Narrow" w:eastAsia="Times New Roman" w:hAnsi="Arial Narrow"/>
                <w:sz w:val="13"/>
                <w:szCs w:val="13"/>
              </w:rPr>
              <w:t>not</w:t>
            </w:r>
            <w:proofErr w:type="spellEnd"/>
            <w:r>
              <w:rPr>
                <w:rFonts w:ascii="Arial Narrow" w:eastAsia="Times New Roman" w:hAnsi="Arial Narrow"/>
                <w:sz w:val="13"/>
                <w:szCs w:val="13"/>
              </w:rPr>
              <w:t xml:space="preserve"> </w:t>
            </w:r>
            <w:proofErr w:type="spellStart"/>
            <w:r>
              <w:rPr>
                <w:rFonts w:ascii="Arial Narrow" w:eastAsia="Times New Roman" w:hAnsi="Arial Narrow"/>
                <w:sz w:val="13"/>
                <w:szCs w:val="13"/>
              </w:rPr>
              <w:t>serious</w:t>
            </w:r>
            <w:proofErr w:type="spellEnd"/>
          </w:p>
        </w:tc>
        <w:tc>
          <w:tcPr>
            <w:tcW w:w="466" w:type="pct"/>
            <w:tcBorders>
              <w:top w:val="single" w:sz="6" w:space="0" w:color="000000"/>
              <w:left w:val="single" w:sz="6" w:space="0" w:color="000000"/>
              <w:bottom w:val="single" w:sz="6" w:space="0" w:color="000000"/>
              <w:right w:val="single" w:sz="6" w:space="0" w:color="000000"/>
            </w:tcBorders>
            <w:hideMark/>
          </w:tcPr>
          <w:p w14:paraId="6AA65E14" w14:textId="77777777" w:rsidR="00AD4A62" w:rsidRDefault="00AD4A62" w:rsidP="00350225">
            <w:pPr>
              <w:jc w:val="center"/>
              <w:rPr>
                <w:rFonts w:ascii="Arial Narrow" w:eastAsia="Times New Roman" w:hAnsi="Arial Narrow"/>
                <w:sz w:val="13"/>
                <w:szCs w:val="13"/>
              </w:rPr>
            </w:pPr>
            <w:proofErr w:type="spellStart"/>
            <w:r>
              <w:rPr>
                <w:rFonts w:ascii="Arial Narrow" w:eastAsia="Times New Roman" w:hAnsi="Arial Narrow"/>
                <w:sz w:val="13"/>
                <w:szCs w:val="13"/>
              </w:rPr>
              <w:t>none</w:t>
            </w:r>
            <w:proofErr w:type="spellEnd"/>
          </w:p>
        </w:tc>
        <w:tc>
          <w:tcPr>
            <w:tcW w:w="510" w:type="pct"/>
            <w:tcBorders>
              <w:top w:val="single" w:sz="6" w:space="0" w:color="000000"/>
              <w:left w:val="single" w:sz="6" w:space="0" w:color="000000"/>
              <w:bottom w:val="single" w:sz="6" w:space="0" w:color="000000"/>
              <w:right w:val="single" w:sz="6" w:space="0" w:color="000000"/>
            </w:tcBorders>
            <w:hideMark/>
          </w:tcPr>
          <w:p w14:paraId="0B742552" w14:textId="77777777" w:rsidR="00AD4A62" w:rsidRDefault="00AD4A62" w:rsidP="00350225">
            <w:pPr>
              <w:jc w:val="center"/>
              <w:rPr>
                <w:rFonts w:ascii="Arial Narrow" w:eastAsia="Times New Roman" w:hAnsi="Arial Narrow"/>
                <w:sz w:val="13"/>
                <w:szCs w:val="13"/>
              </w:rPr>
            </w:pPr>
            <w:r>
              <w:rPr>
                <w:rFonts w:ascii="Arial Narrow" w:eastAsia="Times New Roman" w:hAnsi="Arial Narrow"/>
                <w:sz w:val="13"/>
                <w:szCs w:val="13"/>
              </w:rPr>
              <w:t>71</w:t>
            </w:r>
          </w:p>
        </w:tc>
        <w:tc>
          <w:tcPr>
            <w:tcW w:w="330" w:type="pct"/>
            <w:tcBorders>
              <w:top w:val="single" w:sz="6" w:space="0" w:color="000000"/>
              <w:left w:val="single" w:sz="6" w:space="0" w:color="000000"/>
              <w:bottom w:val="single" w:sz="6" w:space="0" w:color="000000"/>
              <w:right w:val="single" w:sz="6" w:space="0" w:color="000000"/>
            </w:tcBorders>
            <w:hideMark/>
          </w:tcPr>
          <w:p w14:paraId="01C87E87" w14:textId="77777777" w:rsidR="00AD4A62" w:rsidRDefault="00AD4A62" w:rsidP="00350225">
            <w:pPr>
              <w:jc w:val="center"/>
              <w:rPr>
                <w:rFonts w:ascii="Arial Narrow" w:eastAsia="Times New Roman" w:hAnsi="Arial Narrow"/>
                <w:sz w:val="13"/>
                <w:szCs w:val="13"/>
              </w:rPr>
            </w:pPr>
            <w:r>
              <w:rPr>
                <w:rStyle w:val="cell-value"/>
                <w:rFonts w:ascii="Arial Narrow" w:eastAsia="Times New Roman" w:hAnsi="Arial Narrow"/>
                <w:sz w:val="13"/>
                <w:szCs w:val="13"/>
              </w:rPr>
              <w:t>55</w:t>
            </w:r>
          </w:p>
        </w:tc>
        <w:tc>
          <w:tcPr>
            <w:tcW w:w="292" w:type="pct"/>
            <w:tcBorders>
              <w:top w:val="single" w:sz="6" w:space="0" w:color="000000"/>
              <w:left w:val="single" w:sz="6" w:space="0" w:color="000000"/>
              <w:bottom w:val="single" w:sz="6" w:space="0" w:color="000000"/>
              <w:right w:val="single" w:sz="6" w:space="0" w:color="000000"/>
            </w:tcBorders>
            <w:hideMark/>
          </w:tcPr>
          <w:p w14:paraId="03AABC51" w14:textId="77777777" w:rsidR="00AD4A62" w:rsidRDefault="00AD4A62" w:rsidP="00350225">
            <w:pPr>
              <w:jc w:val="center"/>
              <w:rPr>
                <w:rFonts w:ascii="Arial Narrow" w:eastAsia="Times New Roman" w:hAnsi="Arial Narrow"/>
                <w:sz w:val="13"/>
                <w:szCs w:val="13"/>
              </w:rPr>
            </w:pPr>
            <w:r>
              <w:rPr>
                <w:rStyle w:val="cell"/>
                <w:rFonts w:ascii="Arial Narrow" w:eastAsia="Times New Roman" w:hAnsi="Arial Narrow"/>
                <w:sz w:val="13"/>
                <w:szCs w:val="13"/>
              </w:rPr>
              <w:t>-</w:t>
            </w:r>
          </w:p>
        </w:tc>
        <w:tc>
          <w:tcPr>
            <w:tcW w:w="325" w:type="pct"/>
            <w:tcBorders>
              <w:top w:val="single" w:sz="6" w:space="0" w:color="000000"/>
              <w:left w:val="single" w:sz="6" w:space="0" w:color="000000"/>
              <w:bottom w:val="single" w:sz="6" w:space="0" w:color="000000"/>
              <w:right w:val="single" w:sz="6" w:space="0" w:color="000000"/>
            </w:tcBorders>
            <w:hideMark/>
          </w:tcPr>
          <w:p w14:paraId="4807168A" w14:textId="77777777" w:rsidR="00AD4A62" w:rsidRDefault="00AD4A62" w:rsidP="00350225">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MD </w:t>
            </w:r>
            <w:r>
              <w:rPr>
                <w:rStyle w:val="cell-value"/>
                <w:rFonts w:ascii="Arial Narrow" w:eastAsia="Times New Roman" w:hAnsi="Arial Narrow"/>
                <w:b/>
                <w:bCs/>
                <w:sz w:val="13"/>
                <w:szCs w:val="13"/>
              </w:rPr>
              <w:t xml:space="preserve">0.12 </w:t>
            </w:r>
            <w:proofErr w:type="spellStart"/>
            <w:r>
              <w:rPr>
                <w:rStyle w:val="cell-value"/>
                <w:rFonts w:ascii="Arial Narrow" w:eastAsia="Times New Roman" w:hAnsi="Arial Narrow"/>
                <w:b/>
                <w:bCs/>
                <w:sz w:val="13"/>
                <w:szCs w:val="13"/>
              </w:rPr>
              <w:t>ug</w:t>
            </w:r>
            <w:proofErr w:type="spellEnd"/>
            <w:r>
              <w:rPr>
                <w:rStyle w:val="cell-value"/>
                <w:rFonts w:ascii="Arial Narrow" w:eastAsia="Times New Roman" w:hAnsi="Arial Narrow"/>
                <w:b/>
                <w:bCs/>
                <w:sz w:val="13"/>
                <w:szCs w:val="13"/>
              </w:rPr>
              <w:t xml:space="preserve">/kg/min </w:t>
            </w:r>
            <w:proofErr w:type="spellStart"/>
            <w:r>
              <w:rPr>
                <w:rStyle w:val="cell-value"/>
                <w:rFonts w:ascii="Arial Narrow" w:eastAsia="Times New Roman" w:hAnsi="Arial Narrow"/>
                <w:b/>
                <w:bCs/>
                <w:sz w:val="13"/>
                <w:szCs w:val="13"/>
              </w:rPr>
              <w:t>lower</w:t>
            </w:r>
            <w:proofErr w:type="spellEnd"/>
            <w:r>
              <w:rPr>
                <w:rFonts w:ascii="Arial Narrow" w:eastAsia="Times New Roman" w:hAnsi="Arial Narrow"/>
                <w:sz w:val="13"/>
                <w:szCs w:val="13"/>
              </w:rPr>
              <w:br/>
            </w:r>
            <w:r>
              <w:rPr>
                <w:rStyle w:val="cell-value"/>
                <w:rFonts w:ascii="Arial Narrow" w:eastAsia="Times New Roman" w:hAnsi="Arial Narrow"/>
                <w:sz w:val="13"/>
                <w:szCs w:val="13"/>
              </w:rPr>
              <w:t xml:space="preserve">(0.29 </w:t>
            </w:r>
            <w:proofErr w:type="spellStart"/>
            <w:r>
              <w:rPr>
                <w:rStyle w:val="cell-value"/>
                <w:rFonts w:ascii="Arial Narrow" w:eastAsia="Times New Roman" w:hAnsi="Arial Narrow"/>
                <w:sz w:val="13"/>
                <w:szCs w:val="13"/>
              </w:rPr>
              <w:t>lower</w:t>
            </w:r>
            <w:proofErr w:type="spellEnd"/>
            <w:r>
              <w:rPr>
                <w:rStyle w:val="cell-value"/>
                <w:rFonts w:ascii="Arial Narrow" w:eastAsia="Times New Roman" w:hAnsi="Arial Narrow"/>
                <w:sz w:val="13"/>
                <w:szCs w:val="13"/>
              </w:rPr>
              <w:t xml:space="preserve"> </w:t>
            </w:r>
            <w:proofErr w:type="spellStart"/>
            <w:r>
              <w:rPr>
                <w:rStyle w:val="cell-value"/>
                <w:rFonts w:ascii="Arial Narrow" w:eastAsia="Times New Roman" w:hAnsi="Arial Narrow"/>
                <w:sz w:val="13"/>
                <w:szCs w:val="13"/>
              </w:rPr>
              <w:t>to</w:t>
            </w:r>
            <w:proofErr w:type="spellEnd"/>
            <w:r>
              <w:rPr>
                <w:rStyle w:val="cell-value"/>
                <w:rFonts w:ascii="Arial Narrow" w:eastAsia="Times New Roman" w:hAnsi="Arial Narrow"/>
                <w:sz w:val="13"/>
                <w:szCs w:val="13"/>
              </w:rPr>
              <w:t xml:space="preserve"> 0.05 </w:t>
            </w:r>
            <w:proofErr w:type="spellStart"/>
            <w:r>
              <w:rPr>
                <w:rStyle w:val="cell-value"/>
                <w:rFonts w:ascii="Arial Narrow" w:eastAsia="Times New Roman" w:hAnsi="Arial Narrow"/>
                <w:sz w:val="13"/>
                <w:szCs w:val="13"/>
              </w:rPr>
              <w:t>higher</w:t>
            </w:r>
            <w:proofErr w:type="spellEnd"/>
            <w:r>
              <w:rPr>
                <w:rStyle w:val="cell-value"/>
                <w:rFonts w:ascii="Arial Narrow" w:eastAsia="Times New Roman" w:hAnsi="Arial Narrow"/>
                <w:sz w:val="13"/>
                <w:szCs w:val="13"/>
              </w:rPr>
              <w:t>)</w:t>
            </w:r>
          </w:p>
        </w:tc>
        <w:tc>
          <w:tcPr>
            <w:tcW w:w="506" w:type="pct"/>
            <w:tcBorders>
              <w:top w:val="single" w:sz="6" w:space="0" w:color="000000"/>
              <w:left w:val="single" w:sz="6" w:space="0" w:color="000000"/>
              <w:bottom w:val="single" w:sz="6" w:space="0" w:color="000000"/>
              <w:right w:val="single" w:sz="6" w:space="0" w:color="000000"/>
            </w:tcBorders>
            <w:hideMark/>
          </w:tcPr>
          <w:p w14:paraId="52F895EC" w14:textId="77777777" w:rsidR="00AD4A62" w:rsidRDefault="00AD4A62" w:rsidP="00350225">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Low</w:t>
            </w:r>
          </w:p>
        </w:tc>
        <w:tc>
          <w:tcPr>
            <w:tcW w:w="386" w:type="pct"/>
            <w:tcBorders>
              <w:top w:val="single" w:sz="6" w:space="0" w:color="000000"/>
              <w:left w:val="single" w:sz="6" w:space="0" w:color="000000"/>
              <w:bottom w:val="single" w:sz="6" w:space="0" w:color="000000"/>
              <w:right w:val="single" w:sz="6" w:space="0" w:color="000000"/>
            </w:tcBorders>
            <w:hideMark/>
          </w:tcPr>
          <w:p w14:paraId="259C5B93" w14:textId="77777777" w:rsidR="00AD4A62" w:rsidRDefault="00AD4A62" w:rsidP="00350225">
            <w:pPr>
              <w:jc w:val="center"/>
              <w:rPr>
                <w:rFonts w:ascii="Arial Narrow" w:eastAsia="Times New Roman" w:hAnsi="Arial Narrow"/>
                <w:sz w:val="13"/>
                <w:szCs w:val="13"/>
              </w:rPr>
            </w:pPr>
            <w:r>
              <w:rPr>
                <w:rFonts w:ascii="Arial Narrow" w:eastAsia="Times New Roman" w:hAnsi="Arial Narrow"/>
                <w:sz w:val="13"/>
                <w:szCs w:val="13"/>
              </w:rPr>
              <w:t>IMPORTANT</w:t>
            </w:r>
          </w:p>
        </w:tc>
      </w:tr>
      <w:tr w:rsidR="00AD4A62" w14:paraId="208356A9" w14:textId="77777777" w:rsidTr="00A73565">
        <w:trPr>
          <w:cantSplit/>
        </w:trPr>
        <w:tc>
          <w:tcPr>
            <w:tcW w:w="5000" w:type="pct"/>
            <w:gridSpan w:val="13"/>
            <w:shd w:val="clear" w:color="auto" w:fill="FFFFFF"/>
            <w:tcMar>
              <w:top w:w="75" w:type="dxa"/>
              <w:left w:w="60" w:type="dxa"/>
              <w:bottom w:w="60" w:type="dxa"/>
              <w:right w:w="60" w:type="dxa"/>
            </w:tcMar>
            <w:vAlign w:val="center"/>
            <w:hideMark/>
          </w:tcPr>
          <w:p w14:paraId="7AA82AEA" w14:textId="77777777" w:rsidR="00AD4A62" w:rsidRDefault="00AD4A62" w:rsidP="00350225">
            <w:pPr>
              <w:rPr>
                <w:rFonts w:ascii="Arial Narrow" w:eastAsia="Times New Roman" w:hAnsi="Arial Narrow"/>
                <w:b/>
                <w:bCs/>
                <w:color w:val="000000"/>
                <w:sz w:val="13"/>
                <w:szCs w:val="13"/>
              </w:rPr>
            </w:pPr>
            <w:proofErr w:type="spellStart"/>
            <w:r>
              <w:rPr>
                <w:rStyle w:val="label"/>
                <w:rFonts w:ascii="Arial Narrow" w:eastAsia="Times New Roman" w:hAnsi="Arial Narrow"/>
                <w:b/>
                <w:bCs/>
                <w:color w:val="000000"/>
                <w:sz w:val="13"/>
                <w:szCs w:val="13"/>
              </w:rPr>
              <w:t>Length</w:t>
            </w:r>
            <w:proofErr w:type="spellEnd"/>
            <w:r>
              <w:rPr>
                <w:rStyle w:val="label"/>
                <w:rFonts w:ascii="Arial Narrow" w:eastAsia="Times New Roman" w:hAnsi="Arial Narrow"/>
                <w:b/>
                <w:bCs/>
                <w:color w:val="000000"/>
                <w:sz w:val="13"/>
                <w:szCs w:val="13"/>
              </w:rPr>
              <w:t xml:space="preserve"> of ICU </w:t>
            </w:r>
            <w:proofErr w:type="spellStart"/>
            <w:r>
              <w:rPr>
                <w:rStyle w:val="label"/>
                <w:rFonts w:ascii="Arial Narrow" w:eastAsia="Times New Roman" w:hAnsi="Arial Narrow"/>
                <w:b/>
                <w:bCs/>
                <w:color w:val="000000"/>
                <w:sz w:val="13"/>
                <w:szCs w:val="13"/>
              </w:rPr>
              <w:t>stay</w:t>
            </w:r>
            <w:proofErr w:type="spellEnd"/>
          </w:p>
        </w:tc>
      </w:tr>
      <w:tr w:rsidR="00AD4A62" w14:paraId="5C3E0C50" w14:textId="77777777" w:rsidTr="00A73565">
        <w:trPr>
          <w:cantSplit/>
        </w:trPr>
        <w:tc>
          <w:tcPr>
            <w:tcW w:w="326" w:type="pct"/>
            <w:tcBorders>
              <w:top w:val="single" w:sz="6" w:space="0" w:color="000000"/>
              <w:left w:val="single" w:sz="6" w:space="0" w:color="000000"/>
              <w:bottom w:val="single" w:sz="6" w:space="0" w:color="000000"/>
              <w:right w:val="single" w:sz="6" w:space="0" w:color="000000"/>
            </w:tcBorders>
            <w:hideMark/>
          </w:tcPr>
          <w:p w14:paraId="69A04A6A" w14:textId="77777777" w:rsidR="00AD4A62" w:rsidRDefault="00AD4A62" w:rsidP="00350225">
            <w:pPr>
              <w:jc w:val="center"/>
              <w:rPr>
                <w:rFonts w:ascii="Arial Narrow" w:eastAsia="Times New Roman" w:hAnsi="Arial Narrow"/>
                <w:sz w:val="13"/>
                <w:szCs w:val="13"/>
              </w:rPr>
            </w:pPr>
            <w:r>
              <w:rPr>
                <w:rFonts w:ascii="Arial Narrow" w:eastAsia="Times New Roman" w:hAnsi="Arial Narrow"/>
                <w:sz w:val="13"/>
                <w:szCs w:val="13"/>
              </w:rPr>
              <w:t>3</w:t>
            </w:r>
          </w:p>
        </w:tc>
        <w:tc>
          <w:tcPr>
            <w:tcW w:w="339" w:type="pct"/>
            <w:tcBorders>
              <w:top w:val="single" w:sz="6" w:space="0" w:color="000000"/>
              <w:left w:val="single" w:sz="6" w:space="0" w:color="000000"/>
              <w:bottom w:val="single" w:sz="6" w:space="0" w:color="000000"/>
              <w:right w:val="single" w:sz="6" w:space="0" w:color="000000"/>
            </w:tcBorders>
            <w:hideMark/>
          </w:tcPr>
          <w:p w14:paraId="4553A71D" w14:textId="77777777" w:rsidR="00AD4A62" w:rsidRDefault="00AD4A62" w:rsidP="00350225">
            <w:pPr>
              <w:jc w:val="center"/>
              <w:rPr>
                <w:rFonts w:ascii="Arial Narrow" w:eastAsia="Times New Roman" w:hAnsi="Arial Narrow"/>
                <w:sz w:val="13"/>
                <w:szCs w:val="13"/>
              </w:rPr>
            </w:pPr>
            <w:proofErr w:type="spellStart"/>
            <w:r>
              <w:rPr>
                <w:rFonts w:ascii="Arial Narrow" w:eastAsia="Times New Roman" w:hAnsi="Arial Narrow"/>
                <w:sz w:val="13"/>
                <w:szCs w:val="13"/>
              </w:rPr>
              <w:t>observational</w:t>
            </w:r>
            <w:proofErr w:type="spellEnd"/>
            <w:r>
              <w:rPr>
                <w:rFonts w:ascii="Arial Narrow" w:eastAsia="Times New Roman" w:hAnsi="Arial Narrow"/>
                <w:sz w:val="13"/>
                <w:szCs w:val="13"/>
              </w:rPr>
              <w:t xml:space="preserve"> </w:t>
            </w:r>
            <w:proofErr w:type="spellStart"/>
            <w:r>
              <w:rPr>
                <w:rFonts w:ascii="Arial Narrow" w:eastAsia="Times New Roman" w:hAnsi="Arial Narrow"/>
                <w:sz w:val="13"/>
                <w:szCs w:val="13"/>
              </w:rPr>
              <w:t>studies</w:t>
            </w:r>
            <w:proofErr w:type="spellEnd"/>
          </w:p>
        </w:tc>
        <w:tc>
          <w:tcPr>
            <w:tcW w:w="290" w:type="pct"/>
            <w:tcBorders>
              <w:top w:val="single" w:sz="6" w:space="0" w:color="000000"/>
              <w:left w:val="single" w:sz="6" w:space="0" w:color="000000"/>
              <w:bottom w:val="single" w:sz="6" w:space="0" w:color="000000"/>
              <w:right w:val="single" w:sz="6" w:space="0" w:color="000000"/>
            </w:tcBorders>
            <w:hideMark/>
          </w:tcPr>
          <w:p w14:paraId="353EDEE0" w14:textId="77777777" w:rsidR="00AD4A62" w:rsidRDefault="00AD4A62" w:rsidP="00350225">
            <w:pPr>
              <w:jc w:val="center"/>
              <w:rPr>
                <w:rFonts w:ascii="Arial Narrow" w:eastAsia="Times New Roman" w:hAnsi="Arial Narrow"/>
                <w:sz w:val="13"/>
                <w:szCs w:val="13"/>
              </w:rPr>
            </w:pPr>
            <w:proofErr w:type="spellStart"/>
            <w:r>
              <w:rPr>
                <w:rFonts w:ascii="Arial Narrow" w:eastAsia="Times New Roman" w:hAnsi="Arial Narrow"/>
                <w:sz w:val="13"/>
                <w:szCs w:val="13"/>
              </w:rPr>
              <w:t>very</w:t>
            </w:r>
            <w:proofErr w:type="spellEnd"/>
            <w:r>
              <w:rPr>
                <w:rFonts w:ascii="Arial Narrow" w:eastAsia="Times New Roman" w:hAnsi="Arial Narrow"/>
                <w:sz w:val="13"/>
                <w:szCs w:val="13"/>
              </w:rPr>
              <w:t xml:space="preserve"> </w:t>
            </w:r>
            <w:proofErr w:type="spellStart"/>
            <w:r>
              <w:rPr>
                <w:rFonts w:ascii="Arial Narrow" w:eastAsia="Times New Roman" w:hAnsi="Arial Narrow"/>
                <w:sz w:val="13"/>
                <w:szCs w:val="13"/>
              </w:rPr>
              <w:t>serious</w:t>
            </w:r>
            <w:r>
              <w:rPr>
                <w:rFonts w:ascii="Arial Narrow" w:eastAsia="Times New Roman" w:hAnsi="Arial Narrow"/>
                <w:sz w:val="13"/>
                <w:szCs w:val="13"/>
                <w:vertAlign w:val="superscript"/>
              </w:rPr>
              <w:t>a</w:t>
            </w:r>
            <w:proofErr w:type="spellEnd"/>
          </w:p>
        </w:tc>
        <w:tc>
          <w:tcPr>
            <w:tcW w:w="443" w:type="pct"/>
            <w:tcBorders>
              <w:top w:val="single" w:sz="6" w:space="0" w:color="000000"/>
              <w:left w:val="single" w:sz="6" w:space="0" w:color="000000"/>
              <w:bottom w:val="single" w:sz="6" w:space="0" w:color="000000"/>
              <w:right w:val="single" w:sz="6" w:space="0" w:color="000000"/>
            </w:tcBorders>
            <w:hideMark/>
          </w:tcPr>
          <w:p w14:paraId="47F8FAF6" w14:textId="77777777" w:rsidR="00AD4A62" w:rsidRDefault="00AD4A62" w:rsidP="00350225">
            <w:pPr>
              <w:jc w:val="center"/>
              <w:rPr>
                <w:rFonts w:ascii="Arial Narrow" w:eastAsia="Times New Roman" w:hAnsi="Arial Narrow"/>
                <w:sz w:val="13"/>
                <w:szCs w:val="13"/>
              </w:rPr>
            </w:pPr>
            <w:proofErr w:type="spellStart"/>
            <w:r>
              <w:rPr>
                <w:rFonts w:ascii="Arial Narrow" w:eastAsia="Times New Roman" w:hAnsi="Arial Narrow"/>
                <w:sz w:val="13"/>
                <w:szCs w:val="13"/>
              </w:rPr>
              <w:t>not</w:t>
            </w:r>
            <w:proofErr w:type="spellEnd"/>
            <w:r>
              <w:rPr>
                <w:rFonts w:ascii="Arial Narrow" w:eastAsia="Times New Roman" w:hAnsi="Arial Narrow"/>
                <w:sz w:val="13"/>
                <w:szCs w:val="13"/>
              </w:rPr>
              <w:t xml:space="preserve"> </w:t>
            </w:r>
            <w:proofErr w:type="spellStart"/>
            <w:r>
              <w:rPr>
                <w:rFonts w:ascii="Arial Narrow" w:eastAsia="Times New Roman" w:hAnsi="Arial Narrow"/>
                <w:sz w:val="13"/>
                <w:szCs w:val="13"/>
              </w:rPr>
              <w:t>serious</w:t>
            </w:r>
            <w:proofErr w:type="spellEnd"/>
          </w:p>
        </w:tc>
        <w:tc>
          <w:tcPr>
            <w:tcW w:w="401" w:type="pct"/>
            <w:tcBorders>
              <w:top w:val="single" w:sz="6" w:space="0" w:color="000000"/>
              <w:left w:val="single" w:sz="6" w:space="0" w:color="000000"/>
              <w:bottom w:val="single" w:sz="6" w:space="0" w:color="000000"/>
              <w:right w:val="single" w:sz="6" w:space="0" w:color="000000"/>
            </w:tcBorders>
            <w:hideMark/>
          </w:tcPr>
          <w:p w14:paraId="35C08310" w14:textId="77777777" w:rsidR="00AD4A62" w:rsidRDefault="00AD4A62" w:rsidP="00350225">
            <w:pPr>
              <w:jc w:val="center"/>
              <w:rPr>
                <w:rFonts w:ascii="Arial Narrow" w:eastAsia="Times New Roman" w:hAnsi="Arial Narrow"/>
                <w:sz w:val="13"/>
                <w:szCs w:val="13"/>
              </w:rPr>
            </w:pPr>
            <w:proofErr w:type="spellStart"/>
            <w:r>
              <w:rPr>
                <w:rFonts w:ascii="Arial Narrow" w:eastAsia="Times New Roman" w:hAnsi="Arial Narrow"/>
                <w:sz w:val="13"/>
                <w:szCs w:val="13"/>
              </w:rPr>
              <w:t>not</w:t>
            </w:r>
            <w:proofErr w:type="spellEnd"/>
            <w:r>
              <w:rPr>
                <w:rFonts w:ascii="Arial Narrow" w:eastAsia="Times New Roman" w:hAnsi="Arial Narrow"/>
                <w:sz w:val="13"/>
                <w:szCs w:val="13"/>
              </w:rPr>
              <w:t xml:space="preserve"> </w:t>
            </w:r>
            <w:proofErr w:type="spellStart"/>
            <w:r>
              <w:rPr>
                <w:rFonts w:ascii="Arial Narrow" w:eastAsia="Times New Roman" w:hAnsi="Arial Narrow"/>
                <w:sz w:val="13"/>
                <w:szCs w:val="13"/>
              </w:rPr>
              <w:t>serious</w:t>
            </w:r>
            <w:proofErr w:type="spellEnd"/>
          </w:p>
        </w:tc>
        <w:tc>
          <w:tcPr>
            <w:tcW w:w="386" w:type="pct"/>
            <w:tcBorders>
              <w:top w:val="single" w:sz="6" w:space="0" w:color="000000"/>
              <w:left w:val="single" w:sz="6" w:space="0" w:color="000000"/>
              <w:bottom w:val="single" w:sz="6" w:space="0" w:color="000000"/>
              <w:right w:val="single" w:sz="6" w:space="0" w:color="000000"/>
            </w:tcBorders>
            <w:hideMark/>
          </w:tcPr>
          <w:p w14:paraId="3570D288" w14:textId="77777777" w:rsidR="00AD4A62" w:rsidRDefault="00AD4A62" w:rsidP="00350225">
            <w:pPr>
              <w:jc w:val="center"/>
              <w:rPr>
                <w:rFonts w:ascii="Arial Narrow" w:eastAsia="Times New Roman" w:hAnsi="Arial Narrow"/>
                <w:sz w:val="13"/>
                <w:szCs w:val="13"/>
              </w:rPr>
            </w:pPr>
            <w:proofErr w:type="spellStart"/>
            <w:r>
              <w:rPr>
                <w:rFonts w:ascii="Arial Narrow" w:eastAsia="Times New Roman" w:hAnsi="Arial Narrow"/>
                <w:sz w:val="13"/>
                <w:szCs w:val="13"/>
              </w:rPr>
              <w:t>not</w:t>
            </w:r>
            <w:proofErr w:type="spellEnd"/>
            <w:r>
              <w:rPr>
                <w:rFonts w:ascii="Arial Narrow" w:eastAsia="Times New Roman" w:hAnsi="Arial Narrow"/>
                <w:sz w:val="13"/>
                <w:szCs w:val="13"/>
              </w:rPr>
              <w:t xml:space="preserve"> </w:t>
            </w:r>
            <w:proofErr w:type="spellStart"/>
            <w:r>
              <w:rPr>
                <w:rFonts w:ascii="Arial Narrow" w:eastAsia="Times New Roman" w:hAnsi="Arial Narrow"/>
                <w:sz w:val="13"/>
                <w:szCs w:val="13"/>
              </w:rPr>
              <w:t>serious</w:t>
            </w:r>
            <w:proofErr w:type="spellEnd"/>
          </w:p>
        </w:tc>
        <w:tc>
          <w:tcPr>
            <w:tcW w:w="466" w:type="pct"/>
            <w:tcBorders>
              <w:top w:val="single" w:sz="6" w:space="0" w:color="000000"/>
              <w:left w:val="single" w:sz="6" w:space="0" w:color="000000"/>
              <w:bottom w:val="single" w:sz="6" w:space="0" w:color="000000"/>
              <w:right w:val="single" w:sz="6" w:space="0" w:color="000000"/>
            </w:tcBorders>
            <w:hideMark/>
          </w:tcPr>
          <w:p w14:paraId="44497D74" w14:textId="77777777" w:rsidR="00AD4A62" w:rsidRDefault="00AD4A62" w:rsidP="00350225">
            <w:pPr>
              <w:jc w:val="center"/>
              <w:rPr>
                <w:rFonts w:ascii="Arial Narrow" w:eastAsia="Times New Roman" w:hAnsi="Arial Narrow"/>
                <w:sz w:val="13"/>
                <w:szCs w:val="13"/>
              </w:rPr>
            </w:pPr>
            <w:proofErr w:type="spellStart"/>
            <w:r>
              <w:rPr>
                <w:rFonts w:ascii="Arial Narrow" w:eastAsia="Times New Roman" w:hAnsi="Arial Narrow"/>
                <w:sz w:val="13"/>
                <w:szCs w:val="13"/>
              </w:rPr>
              <w:t>none</w:t>
            </w:r>
            <w:proofErr w:type="spellEnd"/>
          </w:p>
        </w:tc>
        <w:tc>
          <w:tcPr>
            <w:tcW w:w="510" w:type="pct"/>
            <w:tcBorders>
              <w:top w:val="single" w:sz="6" w:space="0" w:color="000000"/>
              <w:left w:val="single" w:sz="6" w:space="0" w:color="000000"/>
              <w:bottom w:val="single" w:sz="6" w:space="0" w:color="000000"/>
              <w:right w:val="single" w:sz="6" w:space="0" w:color="000000"/>
            </w:tcBorders>
            <w:hideMark/>
          </w:tcPr>
          <w:p w14:paraId="525EA102" w14:textId="77777777" w:rsidR="00AD4A62" w:rsidRDefault="00AD4A62" w:rsidP="00350225">
            <w:pPr>
              <w:jc w:val="center"/>
              <w:rPr>
                <w:rFonts w:ascii="Arial Narrow" w:eastAsia="Times New Roman" w:hAnsi="Arial Narrow"/>
                <w:sz w:val="13"/>
                <w:szCs w:val="13"/>
              </w:rPr>
            </w:pPr>
            <w:r>
              <w:rPr>
                <w:rFonts w:ascii="Arial Narrow" w:eastAsia="Times New Roman" w:hAnsi="Arial Narrow"/>
                <w:sz w:val="13"/>
                <w:szCs w:val="13"/>
              </w:rPr>
              <w:t>54</w:t>
            </w:r>
          </w:p>
        </w:tc>
        <w:tc>
          <w:tcPr>
            <w:tcW w:w="330" w:type="pct"/>
            <w:tcBorders>
              <w:top w:val="single" w:sz="6" w:space="0" w:color="000000"/>
              <w:left w:val="single" w:sz="6" w:space="0" w:color="000000"/>
              <w:bottom w:val="single" w:sz="6" w:space="0" w:color="000000"/>
              <w:right w:val="single" w:sz="6" w:space="0" w:color="000000"/>
            </w:tcBorders>
            <w:hideMark/>
          </w:tcPr>
          <w:p w14:paraId="1353A9B6" w14:textId="77777777" w:rsidR="00AD4A62" w:rsidRDefault="00AD4A62" w:rsidP="00350225">
            <w:pPr>
              <w:jc w:val="center"/>
              <w:rPr>
                <w:rFonts w:ascii="Arial Narrow" w:eastAsia="Times New Roman" w:hAnsi="Arial Narrow"/>
                <w:sz w:val="13"/>
                <w:szCs w:val="13"/>
              </w:rPr>
            </w:pPr>
            <w:r>
              <w:rPr>
                <w:rStyle w:val="cell-value"/>
                <w:rFonts w:ascii="Arial Narrow" w:eastAsia="Times New Roman" w:hAnsi="Arial Narrow"/>
                <w:sz w:val="13"/>
                <w:szCs w:val="13"/>
              </w:rPr>
              <w:t>38</w:t>
            </w:r>
          </w:p>
        </w:tc>
        <w:tc>
          <w:tcPr>
            <w:tcW w:w="292" w:type="pct"/>
            <w:tcBorders>
              <w:top w:val="single" w:sz="6" w:space="0" w:color="000000"/>
              <w:left w:val="single" w:sz="6" w:space="0" w:color="000000"/>
              <w:bottom w:val="single" w:sz="6" w:space="0" w:color="000000"/>
              <w:right w:val="single" w:sz="6" w:space="0" w:color="000000"/>
            </w:tcBorders>
            <w:hideMark/>
          </w:tcPr>
          <w:p w14:paraId="0BA278BF" w14:textId="77777777" w:rsidR="00AD4A62" w:rsidRDefault="00AD4A62" w:rsidP="00350225">
            <w:pPr>
              <w:jc w:val="center"/>
              <w:rPr>
                <w:rFonts w:ascii="Arial Narrow" w:eastAsia="Times New Roman" w:hAnsi="Arial Narrow"/>
                <w:sz w:val="13"/>
                <w:szCs w:val="13"/>
              </w:rPr>
            </w:pPr>
            <w:r>
              <w:rPr>
                <w:rStyle w:val="cell"/>
                <w:rFonts w:ascii="Arial Narrow" w:eastAsia="Times New Roman" w:hAnsi="Arial Narrow"/>
                <w:sz w:val="13"/>
                <w:szCs w:val="13"/>
              </w:rPr>
              <w:t>-</w:t>
            </w:r>
          </w:p>
        </w:tc>
        <w:tc>
          <w:tcPr>
            <w:tcW w:w="325" w:type="pct"/>
            <w:tcBorders>
              <w:top w:val="single" w:sz="6" w:space="0" w:color="000000"/>
              <w:left w:val="single" w:sz="6" w:space="0" w:color="000000"/>
              <w:bottom w:val="single" w:sz="6" w:space="0" w:color="000000"/>
              <w:right w:val="single" w:sz="6" w:space="0" w:color="000000"/>
            </w:tcBorders>
            <w:hideMark/>
          </w:tcPr>
          <w:p w14:paraId="72FEF1C1" w14:textId="77777777" w:rsidR="00AD4A62" w:rsidRDefault="00AD4A62" w:rsidP="00350225">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MD </w:t>
            </w:r>
            <w:r>
              <w:rPr>
                <w:rStyle w:val="cell-value"/>
                <w:rFonts w:ascii="Arial Narrow" w:eastAsia="Times New Roman" w:hAnsi="Arial Narrow"/>
                <w:b/>
                <w:bCs/>
                <w:sz w:val="13"/>
                <w:szCs w:val="13"/>
              </w:rPr>
              <w:t xml:space="preserve">1.17 </w:t>
            </w:r>
            <w:proofErr w:type="spellStart"/>
            <w:r>
              <w:rPr>
                <w:rStyle w:val="cell-value"/>
                <w:rFonts w:ascii="Arial Narrow" w:eastAsia="Times New Roman" w:hAnsi="Arial Narrow"/>
                <w:b/>
                <w:bCs/>
                <w:sz w:val="13"/>
                <w:szCs w:val="13"/>
              </w:rPr>
              <w:t>days</w:t>
            </w:r>
            <w:proofErr w:type="spellEnd"/>
            <w:r>
              <w:rPr>
                <w:rStyle w:val="cell-value"/>
                <w:rFonts w:ascii="Arial Narrow" w:eastAsia="Times New Roman" w:hAnsi="Arial Narrow"/>
                <w:b/>
                <w:bCs/>
                <w:sz w:val="13"/>
                <w:szCs w:val="13"/>
              </w:rPr>
              <w:t xml:space="preserve"> </w:t>
            </w:r>
            <w:proofErr w:type="spellStart"/>
            <w:r>
              <w:rPr>
                <w:rStyle w:val="cell-value"/>
                <w:rFonts w:ascii="Arial Narrow" w:eastAsia="Times New Roman" w:hAnsi="Arial Narrow"/>
                <w:b/>
                <w:bCs/>
                <w:sz w:val="13"/>
                <w:szCs w:val="13"/>
              </w:rPr>
              <w:t>higher</w:t>
            </w:r>
            <w:proofErr w:type="spellEnd"/>
            <w:r>
              <w:rPr>
                <w:rFonts w:ascii="Arial Narrow" w:eastAsia="Times New Roman" w:hAnsi="Arial Narrow"/>
                <w:sz w:val="13"/>
                <w:szCs w:val="13"/>
              </w:rPr>
              <w:br/>
            </w:r>
            <w:r>
              <w:rPr>
                <w:rStyle w:val="cell-value"/>
                <w:rFonts w:ascii="Arial Narrow" w:eastAsia="Times New Roman" w:hAnsi="Arial Narrow"/>
                <w:sz w:val="13"/>
                <w:szCs w:val="13"/>
              </w:rPr>
              <w:t xml:space="preserve">(18.61 </w:t>
            </w:r>
            <w:proofErr w:type="spellStart"/>
            <w:r>
              <w:rPr>
                <w:rStyle w:val="cell-value"/>
                <w:rFonts w:ascii="Arial Narrow" w:eastAsia="Times New Roman" w:hAnsi="Arial Narrow"/>
                <w:sz w:val="13"/>
                <w:szCs w:val="13"/>
              </w:rPr>
              <w:t>lower</w:t>
            </w:r>
            <w:proofErr w:type="spellEnd"/>
            <w:r>
              <w:rPr>
                <w:rStyle w:val="cell-value"/>
                <w:rFonts w:ascii="Arial Narrow" w:eastAsia="Times New Roman" w:hAnsi="Arial Narrow"/>
                <w:sz w:val="13"/>
                <w:szCs w:val="13"/>
              </w:rPr>
              <w:t xml:space="preserve"> </w:t>
            </w:r>
            <w:proofErr w:type="spellStart"/>
            <w:r>
              <w:rPr>
                <w:rStyle w:val="cell-value"/>
                <w:rFonts w:ascii="Arial Narrow" w:eastAsia="Times New Roman" w:hAnsi="Arial Narrow"/>
                <w:sz w:val="13"/>
                <w:szCs w:val="13"/>
              </w:rPr>
              <w:t>to</w:t>
            </w:r>
            <w:proofErr w:type="spellEnd"/>
            <w:r>
              <w:rPr>
                <w:rStyle w:val="cell-value"/>
                <w:rFonts w:ascii="Arial Narrow" w:eastAsia="Times New Roman" w:hAnsi="Arial Narrow"/>
                <w:sz w:val="13"/>
                <w:szCs w:val="13"/>
              </w:rPr>
              <w:t xml:space="preserve"> 20.96 </w:t>
            </w:r>
            <w:proofErr w:type="spellStart"/>
            <w:r>
              <w:rPr>
                <w:rStyle w:val="cell-value"/>
                <w:rFonts w:ascii="Arial Narrow" w:eastAsia="Times New Roman" w:hAnsi="Arial Narrow"/>
                <w:sz w:val="13"/>
                <w:szCs w:val="13"/>
              </w:rPr>
              <w:t>higher</w:t>
            </w:r>
            <w:proofErr w:type="spellEnd"/>
            <w:r>
              <w:rPr>
                <w:rStyle w:val="cell-value"/>
                <w:rFonts w:ascii="Arial Narrow" w:eastAsia="Times New Roman" w:hAnsi="Arial Narrow"/>
                <w:sz w:val="13"/>
                <w:szCs w:val="13"/>
              </w:rPr>
              <w:t>)</w:t>
            </w:r>
          </w:p>
        </w:tc>
        <w:tc>
          <w:tcPr>
            <w:tcW w:w="506" w:type="pct"/>
            <w:tcBorders>
              <w:top w:val="single" w:sz="6" w:space="0" w:color="000000"/>
              <w:left w:val="single" w:sz="6" w:space="0" w:color="000000"/>
              <w:bottom w:val="single" w:sz="6" w:space="0" w:color="000000"/>
              <w:right w:val="single" w:sz="6" w:space="0" w:color="000000"/>
            </w:tcBorders>
            <w:hideMark/>
          </w:tcPr>
          <w:p w14:paraId="398D660F" w14:textId="77777777" w:rsidR="00AD4A62" w:rsidRDefault="00AD4A62" w:rsidP="00350225">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Low</w:t>
            </w:r>
          </w:p>
        </w:tc>
        <w:tc>
          <w:tcPr>
            <w:tcW w:w="386" w:type="pct"/>
            <w:tcBorders>
              <w:top w:val="single" w:sz="6" w:space="0" w:color="000000"/>
              <w:left w:val="single" w:sz="6" w:space="0" w:color="000000"/>
              <w:bottom w:val="single" w:sz="6" w:space="0" w:color="000000"/>
              <w:right w:val="single" w:sz="6" w:space="0" w:color="000000"/>
            </w:tcBorders>
            <w:hideMark/>
          </w:tcPr>
          <w:p w14:paraId="00912B7D" w14:textId="77777777" w:rsidR="00AD4A62" w:rsidRDefault="00AD4A62" w:rsidP="00350225">
            <w:pPr>
              <w:jc w:val="center"/>
              <w:rPr>
                <w:rFonts w:ascii="Arial Narrow" w:eastAsia="Times New Roman" w:hAnsi="Arial Narrow"/>
                <w:sz w:val="13"/>
                <w:szCs w:val="13"/>
              </w:rPr>
            </w:pPr>
            <w:r>
              <w:rPr>
                <w:rFonts w:ascii="Arial Narrow" w:eastAsia="Times New Roman" w:hAnsi="Arial Narrow"/>
                <w:sz w:val="13"/>
                <w:szCs w:val="13"/>
              </w:rPr>
              <w:t>IMPORTANT</w:t>
            </w:r>
          </w:p>
        </w:tc>
      </w:tr>
      <w:tr w:rsidR="00AD4A62" w14:paraId="526466DD" w14:textId="77777777" w:rsidTr="00A73565">
        <w:trPr>
          <w:cantSplit/>
        </w:trPr>
        <w:tc>
          <w:tcPr>
            <w:tcW w:w="5000" w:type="pct"/>
            <w:gridSpan w:val="13"/>
            <w:shd w:val="clear" w:color="auto" w:fill="FFFFFF"/>
            <w:tcMar>
              <w:top w:w="75" w:type="dxa"/>
              <w:left w:w="60" w:type="dxa"/>
              <w:bottom w:w="60" w:type="dxa"/>
              <w:right w:w="60" w:type="dxa"/>
            </w:tcMar>
            <w:vAlign w:val="center"/>
            <w:hideMark/>
          </w:tcPr>
          <w:p w14:paraId="536B31DA" w14:textId="77777777" w:rsidR="00AD4A62" w:rsidRDefault="00AD4A62" w:rsidP="00350225">
            <w:pPr>
              <w:rPr>
                <w:rFonts w:ascii="Arial Narrow" w:eastAsia="Times New Roman" w:hAnsi="Arial Narrow"/>
                <w:b/>
                <w:bCs/>
                <w:color w:val="000000"/>
                <w:sz w:val="13"/>
                <w:szCs w:val="13"/>
              </w:rPr>
            </w:pPr>
            <w:proofErr w:type="spellStart"/>
            <w:r>
              <w:rPr>
                <w:rStyle w:val="label"/>
                <w:rFonts w:ascii="Arial Narrow" w:eastAsia="Times New Roman" w:hAnsi="Arial Narrow"/>
                <w:b/>
                <w:bCs/>
                <w:color w:val="000000"/>
                <w:sz w:val="13"/>
                <w:szCs w:val="13"/>
              </w:rPr>
              <w:t>Mortality</w:t>
            </w:r>
            <w:proofErr w:type="spellEnd"/>
            <w:r>
              <w:rPr>
                <w:rStyle w:val="label"/>
                <w:rFonts w:ascii="Arial Narrow" w:eastAsia="Times New Roman" w:hAnsi="Arial Narrow"/>
                <w:b/>
                <w:bCs/>
                <w:color w:val="000000"/>
                <w:sz w:val="13"/>
                <w:szCs w:val="13"/>
              </w:rPr>
              <w:t xml:space="preserve"> (</w:t>
            </w:r>
            <w:proofErr w:type="spellStart"/>
            <w:r>
              <w:rPr>
                <w:rStyle w:val="label"/>
                <w:rFonts w:ascii="Arial Narrow" w:eastAsia="Times New Roman" w:hAnsi="Arial Narrow"/>
                <w:b/>
                <w:bCs/>
                <w:color w:val="000000"/>
                <w:sz w:val="13"/>
                <w:szCs w:val="13"/>
              </w:rPr>
              <w:t>follow-up</w:t>
            </w:r>
            <w:proofErr w:type="spellEnd"/>
            <w:r>
              <w:rPr>
                <w:rStyle w:val="label"/>
                <w:rFonts w:ascii="Arial Narrow" w:eastAsia="Times New Roman" w:hAnsi="Arial Narrow"/>
                <w:b/>
                <w:bCs/>
                <w:color w:val="000000"/>
                <w:sz w:val="13"/>
                <w:szCs w:val="13"/>
              </w:rPr>
              <w:t xml:space="preserve">: </w:t>
            </w:r>
            <w:proofErr w:type="spellStart"/>
            <w:r>
              <w:rPr>
                <w:rStyle w:val="label"/>
                <w:rFonts w:ascii="Arial Narrow" w:eastAsia="Times New Roman" w:hAnsi="Arial Narrow"/>
                <w:b/>
                <w:bCs/>
                <w:color w:val="000000"/>
                <w:sz w:val="13"/>
                <w:szCs w:val="13"/>
              </w:rPr>
              <w:t>range</w:t>
            </w:r>
            <w:proofErr w:type="spellEnd"/>
            <w:r>
              <w:rPr>
                <w:rStyle w:val="label"/>
                <w:rFonts w:ascii="Arial Narrow" w:eastAsia="Times New Roman" w:hAnsi="Arial Narrow"/>
                <w:b/>
                <w:bCs/>
                <w:color w:val="000000"/>
                <w:sz w:val="13"/>
                <w:szCs w:val="13"/>
              </w:rPr>
              <w:t xml:space="preserve"> 28 </w:t>
            </w:r>
            <w:proofErr w:type="spellStart"/>
            <w:r>
              <w:rPr>
                <w:rStyle w:val="label"/>
                <w:rFonts w:ascii="Arial Narrow" w:eastAsia="Times New Roman" w:hAnsi="Arial Narrow"/>
                <w:b/>
                <w:bCs/>
                <w:color w:val="000000"/>
                <w:sz w:val="13"/>
                <w:szCs w:val="13"/>
              </w:rPr>
              <w:t>days</w:t>
            </w:r>
            <w:proofErr w:type="spellEnd"/>
            <w:r>
              <w:rPr>
                <w:rStyle w:val="label"/>
                <w:rFonts w:ascii="Arial Narrow" w:eastAsia="Times New Roman" w:hAnsi="Arial Narrow"/>
                <w:b/>
                <w:bCs/>
                <w:color w:val="000000"/>
                <w:sz w:val="13"/>
                <w:szCs w:val="13"/>
              </w:rPr>
              <w:t xml:space="preserve"> </w:t>
            </w:r>
            <w:proofErr w:type="spellStart"/>
            <w:r>
              <w:rPr>
                <w:rStyle w:val="label"/>
                <w:rFonts w:ascii="Arial Narrow" w:eastAsia="Times New Roman" w:hAnsi="Arial Narrow"/>
                <w:b/>
                <w:bCs/>
                <w:color w:val="000000"/>
                <w:sz w:val="13"/>
                <w:szCs w:val="13"/>
              </w:rPr>
              <w:t>to</w:t>
            </w:r>
            <w:proofErr w:type="spellEnd"/>
            <w:r>
              <w:rPr>
                <w:rStyle w:val="label"/>
                <w:rFonts w:ascii="Arial Narrow" w:eastAsia="Times New Roman" w:hAnsi="Arial Narrow"/>
                <w:b/>
                <w:bCs/>
                <w:color w:val="000000"/>
                <w:sz w:val="13"/>
                <w:szCs w:val="13"/>
              </w:rPr>
              <w:t xml:space="preserve"> 90 </w:t>
            </w:r>
            <w:proofErr w:type="spellStart"/>
            <w:r>
              <w:rPr>
                <w:rStyle w:val="label"/>
                <w:rFonts w:ascii="Arial Narrow" w:eastAsia="Times New Roman" w:hAnsi="Arial Narrow"/>
                <w:b/>
                <w:bCs/>
                <w:color w:val="000000"/>
                <w:sz w:val="13"/>
                <w:szCs w:val="13"/>
              </w:rPr>
              <w:t>days</w:t>
            </w:r>
            <w:proofErr w:type="spellEnd"/>
            <w:r>
              <w:rPr>
                <w:rStyle w:val="label"/>
                <w:rFonts w:ascii="Arial Narrow" w:eastAsia="Times New Roman" w:hAnsi="Arial Narrow"/>
                <w:b/>
                <w:bCs/>
                <w:color w:val="000000"/>
                <w:sz w:val="13"/>
                <w:szCs w:val="13"/>
              </w:rPr>
              <w:t>)</w:t>
            </w:r>
          </w:p>
        </w:tc>
      </w:tr>
      <w:tr w:rsidR="00AD4A62" w14:paraId="2DE02D0C" w14:textId="77777777" w:rsidTr="00A73565">
        <w:trPr>
          <w:cantSplit/>
        </w:trPr>
        <w:tc>
          <w:tcPr>
            <w:tcW w:w="326" w:type="pct"/>
            <w:tcBorders>
              <w:top w:val="single" w:sz="6" w:space="0" w:color="000000"/>
              <w:left w:val="single" w:sz="6" w:space="0" w:color="000000"/>
              <w:bottom w:val="single" w:sz="6" w:space="0" w:color="000000"/>
              <w:right w:val="single" w:sz="6" w:space="0" w:color="000000"/>
            </w:tcBorders>
            <w:hideMark/>
          </w:tcPr>
          <w:p w14:paraId="70CB10FC" w14:textId="77777777" w:rsidR="00AD4A62" w:rsidRDefault="00AD4A62" w:rsidP="00350225">
            <w:pPr>
              <w:jc w:val="center"/>
              <w:rPr>
                <w:rFonts w:ascii="Arial Narrow" w:eastAsia="Times New Roman" w:hAnsi="Arial Narrow"/>
                <w:sz w:val="13"/>
                <w:szCs w:val="13"/>
              </w:rPr>
            </w:pPr>
            <w:r>
              <w:rPr>
                <w:rFonts w:ascii="Arial Narrow" w:eastAsia="Times New Roman" w:hAnsi="Arial Narrow"/>
                <w:sz w:val="13"/>
                <w:szCs w:val="13"/>
              </w:rPr>
              <w:lastRenderedPageBreak/>
              <w:t>5</w:t>
            </w:r>
          </w:p>
        </w:tc>
        <w:tc>
          <w:tcPr>
            <w:tcW w:w="339" w:type="pct"/>
            <w:tcBorders>
              <w:top w:val="single" w:sz="6" w:space="0" w:color="000000"/>
              <w:left w:val="single" w:sz="6" w:space="0" w:color="000000"/>
              <w:bottom w:val="single" w:sz="6" w:space="0" w:color="000000"/>
              <w:right w:val="single" w:sz="6" w:space="0" w:color="000000"/>
            </w:tcBorders>
            <w:hideMark/>
          </w:tcPr>
          <w:p w14:paraId="3957988C" w14:textId="77777777" w:rsidR="00AD4A62" w:rsidRDefault="00AD4A62" w:rsidP="00350225">
            <w:pPr>
              <w:jc w:val="center"/>
              <w:rPr>
                <w:rFonts w:ascii="Arial Narrow" w:eastAsia="Times New Roman" w:hAnsi="Arial Narrow"/>
                <w:sz w:val="13"/>
                <w:szCs w:val="13"/>
              </w:rPr>
            </w:pPr>
            <w:proofErr w:type="spellStart"/>
            <w:r>
              <w:rPr>
                <w:rFonts w:ascii="Arial Narrow" w:eastAsia="Times New Roman" w:hAnsi="Arial Narrow"/>
                <w:sz w:val="13"/>
                <w:szCs w:val="13"/>
              </w:rPr>
              <w:t>observational</w:t>
            </w:r>
            <w:proofErr w:type="spellEnd"/>
            <w:r>
              <w:rPr>
                <w:rFonts w:ascii="Arial Narrow" w:eastAsia="Times New Roman" w:hAnsi="Arial Narrow"/>
                <w:sz w:val="13"/>
                <w:szCs w:val="13"/>
              </w:rPr>
              <w:t xml:space="preserve"> </w:t>
            </w:r>
            <w:proofErr w:type="spellStart"/>
            <w:r>
              <w:rPr>
                <w:rFonts w:ascii="Arial Narrow" w:eastAsia="Times New Roman" w:hAnsi="Arial Narrow"/>
                <w:sz w:val="13"/>
                <w:szCs w:val="13"/>
              </w:rPr>
              <w:t>studies</w:t>
            </w:r>
            <w:proofErr w:type="spellEnd"/>
          </w:p>
        </w:tc>
        <w:tc>
          <w:tcPr>
            <w:tcW w:w="290" w:type="pct"/>
            <w:tcBorders>
              <w:top w:val="single" w:sz="6" w:space="0" w:color="000000"/>
              <w:left w:val="single" w:sz="6" w:space="0" w:color="000000"/>
              <w:bottom w:val="single" w:sz="6" w:space="0" w:color="000000"/>
              <w:right w:val="single" w:sz="6" w:space="0" w:color="000000"/>
            </w:tcBorders>
            <w:hideMark/>
          </w:tcPr>
          <w:p w14:paraId="7083F638" w14:textId="77777777" w:rsidR="00AD4A62" w:rsidRDefault="00AD4A62" w:rsidP="00350225">
            <w:pPr>
              <w:jc w:val="center"/>
              <w:rPr>
                <w:rFonts w:ascii="Arial Narrow" w:eastAsia="Times New Roman" w:hAnsi="Arial Narrow"/>
                <w:sz w:val="13"/>
                <w:szCs w:val="13"/>
              </w:rPr>
            </w:pPr>
            <w:proofErr w:type="spellStart"/>
            <w:r>
              <w:rPr>
                <w:rFonts w:ascii="Arial Narrow" w:eastAsia="Times New Roman" w:hAnsi="Arial Narrow"/>
                <w:sz w:val="13"/>
                <w:szCs w:val="13"/>
              </w:rPr>
              <w:t>very</w:t>
            </w:r>
            <w:proofErr w:type="spellEnd"/>
            <w:r>
              <w:rPr>
                <w:rFonts w:ascii="Arial Narrow" w:eastAsia="Times New Roman" w:hAnsi="Arial Narrow"/>
                <w:sz w:val="13"/>
                <w:szCs w:val="13"/>
              </w:rPr>
              <w:t xml:space="preserve"> </w:t>
            </w:r>
            <w:proofErr w:type="spellStart"/>
            <w:proofErr w:type="gramStart"/>
            <w:r>
              <w:rPr>
                <w:rFonts w:ascii="Arial Narrow" w:eastAsia="Times New Roman" w:hAnsi="Arial Narrow"/>
                <w:sz w:val="13"/>
                <w:szCs w:val="13"/>
              </w:rPr>
              <w:t>serious</w:t>
            </w:r>
            <w:r>
              <w:rPr>
                <w:rFonts w:ascii="Arial Narrow" w:eastAsia="Times New Roman" w:hAnsi="Arial Narrow"/>
                <w:sz w:val="13"/>
                <w:szCs w:val="13"/>
                <w:vertAlign w:val="superscript"/>
              </w:rPr>
              <w:t>a</w:t>
            </w:r>
            <w:r>
              <w:rPr>
                <w:rStyle w:val="comma"/>
                <w:rFonts w:ascii="Arial Narrow" w:eastAsia="Times New Roman" w:hAnsi="Arial Narrow"/>
                <w:sz w:val="13"/>
                <w:szCs w:val="13"/>
                <w:vertAlign w:val="superscript"/>
              </w:rPr>
              <w:t>,</w:t>
            </w:r>
            <w:r>
              <w:rPr>
                <w:rFonts w:ascii="Arial Narrow" w:eastAsia="Times New Roman" w:hAnsi="Arial Narrow"/>
                <w:sz w:val="13"/>
                <w:szCs w:val="13"/>
                <w:vertAlign w:val="superscript"/>
              </w:rPr>
              <w:t>b</w:t>
            </w:r>
            <w:proofErr w:type="spellEnd"/>
            <w:proofErr w:type="gramEnd"/>
          </w:p>
        </w:tc>
        <w:tc>
          <w:tcPr>
            <w:tcW w:w="443" w:type="pct"/>
            <w:tcBorders>
              <w:top w:val="single" w:sz="6" w:space="0" w:color="000000"/>
              <w:left w:val="single" w:sz="6" w:space="0" w:color="000000"/>
              <w:bottom w:val="single" w:sz="6" w:space="0" w:color="000000"/>
              <w:right w:val="single" w:sz="6" w:space="0" w:color="000000"/>
            </w:tcBorders>
            <w:hideMark/>
          </w:tcPr>
          <w:p w14:paraId="1189A780" w14:textId="77777777" w:rsidR="00AD4A62" w:rsidRDefault="00AD4A62" w:rsidP="00350225">
            <w:pPr>
              <w:jc w:val="center"/>
              <w:rPr>
                <w:rFonts w:ascii="Arial Narrow" w:eastAsia="Times New Roman" w:hAnsi="Arial Narrow"/>
                <w:sz w:val="13"/>
                <w:szCs w:val="13"/>
              </w:rPr>
            </w:pPr>
            <w:proofErr w:type="spellStart"/>
            <w:r>
              <w:rPr>
                <w:rFonts w:ascii="Arial Narrow" w:eastAsia="Times New Roman" w:hAnsi="Arial Narrow"/>
                <w:sz w:val="13"/>
                <w:szCs w:val="13"/>
              </w:rPr>
              <w:t>serious</w:t>
            </w:r>
            <w:r>
              <w:rPr>
                <w:rFonts w:ascii="Arial Narrow" w:eastAsia="Times New Roman" w:hAnsi="Arial Narrow"/>
                <w:sz w:val="13"/>
                <w:szCs w:val="13"/>
                <w:vertAlign w:val="superscript"/>
              </w:rPr>
              <w:t>b</w:t>
            </w:r>
            <w:proofErr w:type="spellEnd"/>
          </w:p>
        </w:tc>
        <w:tc>
          <w:tcPr>
            <w:tcW w:w="401" w:type="pct"/>
            <w:tcBorders>
              <w:top w:val="single" w:sz="6" w:space="0" w:color="000000"/>
              <w:left w:val="single" w:sz="6" w:space="0" w:color="000000"/>
              <w:bottom w:val="single" w:sz="6" w:space="0" w:color="000000"/>
              <w:right w:val="single" w:sz="6" w:space="0" w:color="000000"/>
            </w:tcBorders>
            <w:hideMark/>
          </w:tcPr>
          <w:p w14:paraId="68EB955E" w14:textId="77777777" w:rsidR="00AD4A62" w:rsidRDefault="00AD4A62" w:rsidP="00350225">
            <w:pPr>
              <w:jc w:val="center"/>
              <w:rPr>
                <w:rFonts w:ascii="Arial Narrow" w:eastAsia="Times New Roman" w:hAnsi="Arial Narrow"/>
                <w:sz w:val="13"/>
                <w:szCs w:val="13"/>
              </w:rPr>
            </w:pPr>
            <w:proofErr w:type="spellStart"/>
            <w:r>
              <w:rPr>
                <w:rFonts w:ascii="Arial Narrow" w:eastAsia="Times New Roman" w:hAnsi="Arial Narrow"/>
                <w:sz w:val="13"/>
                <w:szCs w:val="13"/>
              </w:rPr>
              <w:t>not</w:t>
            </w:r>
            <w:proofErr w:type="spellEnd"/>
            <w:r>
              <w:rPr>
                <w:rFonts w:ascii="Arial Narrow" w:eastAsia="Times New Roman" w:hAnsi="Arial Narrow"/>
                <w:sz w:val="13"/>
                <w:szCs w:val="13"/>
              </w:rPr>
              <w:t xml:space="preserve"> </w:t>
            </w:r>
            <w:proofErr w:type="spellStart"/>
            <w:r>
              <w:rPr>
                <w:rFonts w:ascii="Arial Narrow" w:eastAsia="Times New Roman" w:hAnsi="Arial Narrow"/>
                <w:sz w:val="13"/>
                <w:szCs w:val="13"/>
              </w:rPr>
              <w:t>serious</w:t>
            </w:r>
            <w:proofErr w:type="spellEnd"/>
          </w:p>
        </w:tc>
        <w:tc>
          <w:tcPr>
            <w:tcW w:w="386" w:type="pct"/>
            <w:tcBorders>
              <w:top w:val="single" w:sz="6" w:space="0" w:color="000000"/>
              <w:left w:val="single" w:sz="6" w:space="0" w:color="000000"/>
              <w:bottom w:val="single" w:sz="6" w:space="0" w:color="000000"/>
              <w:right w:val="single" w:sz="6" w:space="0" w:color="000000"/>
            </w:tcBorders>
            <w:hideMark/>
          </w:tcPr>
          <w:p w14:paraId="30CE1602" w14:textId="77777777" w:rsidR="00AD4A62" w:rsidRDefault="00AD4A62" w:rsidP="00350225">
            <w:pPr>
              <w:jc w:val="center"/>
              <w:rPr>
                <w:rFonts w:ascii="Arial Narrow" w:eastAsia="Times New Roman" w:hAnsi="Arial Narrow"/>
                <w:sz w:val="13"/>
                <w:szCs w:val="13"/>
              </w:rPr>
            </w:pPr>
            <w:proofErr w:type="spellStart"/>
            <w:r>
              <w:rPr>
                <w:rFonts w:ascii="Arial Narrow" w:eastAsia="Times New Roman" w:hAnsi="Arial Narrow"/>
                <w:sz w:val="13"/>
                <w:szCs w:val="13"/>
              </w:rPr>
              <w:t>not</w:t>
            </w:r>
            <w:proofErr w:type="spellEnd"/>
            <w:r>
              <w:rPr>
                <w:rFonts w:ascii="Arial Narrow" w:eastAsia="Times New Roman" w:hAnsi="Arial Narrow"/>
                <w:sz w:val="13"/>
                <w:szCs w:val="13"/>
              </w:rPr>
              <w:t xml:space="preserve"> </w:t>
            </w:r>
            <w:proofErr w:type="spellStart"/>
            <w:r>
              <w:rPr>
                <w:rFonts w:ascii="Arial Narrow" w:eastAsia="Times New Roman" w:hAnsi="Arial Narrow"/>
                <w:sz w:val="13"/>
                <w:szCs w:val="13"/>
              </w:rPr>
              <w:t>serious</w:t>
            </w:r>
            <w:proofErr w:type="spellEnd"/>
          </w:p>
        </w:tc>
        <w:tc>
          <w:tcPr>
            <w:tcW w:w="466" w:type="pct"/>
            <w:tcBorders>
              <w:top w:val="single" w:sz="6" w:space="0" w:color="000000"/>
              <w:left w:val="single" w:sz="6" w:space="0" w:color="000000"/>
              <w:bottom w:val="single" w:sz="6" w:space="0" w:color="000000"/>
              <w:right w:val="single" w:sz="6" w:space="0" w:color="000000"/>
            </w:tcBorders>
            <w:hideMark/>
          </w:tcPr>
          <w:p w14:paraId="6D2F22EA" w14:textId="77777777" w:rsidR="00AD4A62" w:rsidRDefault="00AD4A62" w:rsidP="00350225">
            <w:pPr>
              <w:jc w:val="center"/>
              <w:rPr>
                <w:rFonts w:ascii="Arial Narrow" w:eastAsia="Times New Roman" w:hAnsi="Arial Narrow"/>
                <w:sz w:val="13"/>
                <w:szCs w:val="13"/>
              </w:rPr>
            </w:pPr>
            <w:proofErr w:type="spellStart"/>
            <w:r>
              <w:rPr>
                <w:rFonts w:ascii="Arial Narrow" w:eastAsia="Times New Roman" w:hAnsi="Arial Narrow"/>
                <w:sz w:val="13"/>
                <w:szCs w:val="13"/>
              </w:rPr>
              <w:t>none</w:t>
            </w:r>
            <w:proofErr w:type="spellEnd"/>
          </w:p>
        </w:tc>
        <w:tc>
          <w:tcPr>
            <w:tcW w:w="510" w:type="pct"/>
            <w:tcBorders>
              <w:top w:val="single" w:sz="6" w:space="0" w:color="000000"/>
              <w:left w:val="single" w:sz="6" w:space="0" w:color="000000"/>
              <w:bottom w:val="single" w:sz="6" w:space="0" w:color="000000"/>
              <w:right w:val="single" w:sz="6" w:space="0" w:color="000000"/>
            </w:tcBorders>
            <w:hideMark/>
          </w:tcPr>
          <w:p w14:paraId="445B6331" w14:textId="77777777" w:rsidR="00AD4A62" w:rsidRDefault="00AD4A62" w:rsidP="00350225">
            <w:pPr>
              <w:jc w:val="center"/>
              <w:rPr>
                <w:rFonts w:ascii="Arial Narrow" w:eastAsia="Times New Roman" w:hAnsi="Arial Narrow"/>
                <w:sz w:val="13"/>
                <w:szCs w:val="13"/>
              </w:rPr>
            </w:pPr>
            <w:r>
              <w:rPr>
                <w:rFonts w:ascii="Arial Narrow" w:eastAsia="Times New Roman" w:hAnsi="Arial Narrow"/>
                <w:sz w:val="13"/>
                <w:szCs w:val="13"/>
              </w:rPr>
              <w:t xml:space="preserve">28/76 (36.8%) </w:t>
            </w:r>
          </w:p>
        </w:tc>
        <w:tc>
          <w:tcPr>
            <w:tcW w:w="330" w:type="pct"/>
            <w:tcBorders>
              <w:top w:val="single" w:sz="6" w:space="0" w:color="000000"/>
              <w:left w:val="single" w:sz="6" w:space="0" w:color="000000"/>
              <w:bottom w:val="single" w:sz="6" w:space="0" w:color="000000"/>
              <w:right w:val="single" w:sz="6" w:space="0" w:color="000000"/>
            </w:tcBorders>
            <w:hideMark/>
          </w:tcPr>
          <w:p w14:paraId="00F93622" w14:textId="77777777" w:rsidR="00AD4A62" w:rsidRDefault="00AD4A62" w:rsidP="00350225">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29/59 (49.2%) </w:t>
            </w:r>
          </w:p>
        </w:tc>
        <w:tc>
          <w:tcPr>
            <w:tcW w:w="292" w:type="pct"/>
            <w:tcBorders>
              <w:top w:val="single" w:sz="6" w:space="0" w:color="000000"/>
              <w:left w:val="single" w:sz="6" w:space="0" w:color="000000"/>
              <w:bottom w:val="single" w:sz="6" w:space="0" w:color="000000"/>
              <w:right w:val="single" w:sz="6" w:space="0" w:color="000000"/>
            </w:tcBorders>
            <w:hideMark/>
          </w:tcPr>
          <w:p w14:paraId="739E55F8" w14:textId="77777777" w:rsidR="00AD4A62" w:rsidRDefault="00AD4A62" w:rsidP="00350225">
            <w:pPr>
              <w:jc w:val="center"/>
              <w:rPr>
                <w:rFonts w:ascii="Arial Narrow" w:eastAsia="Times New Roman" w:hAnsi="Arial Narrow"/>
                <w:sz w:val="13"/>
                <w:szCs w:val="13"/>
              </w:rPr>
            </w:pPr>
            <w:r>
              <w:rPr>
                <w:rStyle w:val="block"/>
                <w:rFonts w:ascii="Arial Narrow" w:eastAsia="Times New Roman" w:hAnsi="Arial Narrow"/>
                <w:b/>
                <w:bCs/>
                <w:sz w:val="13"/>
                <w:szCs w:val="13"/>
              </w:rPr>
              <w:t>RR 0.64</w:t>
            </w:r>
            <w:r>
              <w:rPr>
                <w:rFonts w:ascii="Arial Narrow" w:eastAsia="Times New Roman" w:hAnsi="Arial Narrow"/>
                <w:sz w:val="13"/>
                <w:szCs w:val="13"/>
              </w:rPr>
              <w:br/>
            </w:r>
            <w:r>
              <w:rPr>
                <w:rStyle w:val="cell"/>
                <w:rFonts w:ascii="Arial Narrow" w:eastAsia="Times New Roman" w:hAnsi="Arial Narrow"/>
                <w:sz w:val="13"/>
                <w:szCs w:val="13"/>
              </w:rPr>
              <w:t xml:space="preserve">(0.11 </w:t>
            </w:r>
            <w:proofErr w:type="spellStart"/>
            <w:r>
              <w:rPr>
                <w:rStyle w:val="cell"/>
                <w:rFonts w:ascii="Arial Narrow" w:eastAsia="Times New Roman" w:hAnsi="Arial Narrow"/>
                <w:sz w:val="13"/>
                <w:szCs w:val="13"/>
              </w:rPr>
              <w:t>to</w:t>
            </w:r>
            <w:proofErr w:type="spellEnd"/>
            <w:r>
              <w:rPr>
                <w:rStyle w:val="cell"/>
                <w:rFonts w:ascii="Arial Narrow" w:eastAsia="Times New Roman" w:hAnsi="Arial Narrow"/>
                <w:sz w:val="13"/>
                <w:szCs w:val="13"/>
              </w:rPr>
              <w:t xml:space="preserve"> 3.65)</w:t>
            </w:r>
          </w:p>
        </w:tc>
        <w:tc>
          <w:tcPr>
            <w:tcW w:w="325" w:type="pct"/>
            <w:tcBorders>
              <w:top w:val="single" w:sz="6" w:space="0" w:color="000000"/>
              <w:left w:val="single" w:sz="6" w:space="0" w:color="000000"/>
              <w:bottom w:val="single" w:sz="6" w:space="0" w:color="000000"/>
              <w:right w:val="single" w:sz="6" w:space="0" w:color="000000"/>
            </w:tcBorders>
            <w:hideMark/>
          </w:tcPr>
          <w:p w14:paraId="1C54FDF6" w14:textId="77777777" w:rsidR="00AD4A62" w:rsidRDefault="00AD4A62" w:rsidP="00350225">
            <w:pPr>
              <w:jc w:val="center"/>
              <w:rPr>
                <w:rFonts w:ascii="Arial Narrow" w:eastAsia="Times New Roman" w:hAnsi="Arial Narrow"/>
                <w:sz w:val="13"/>
                <w:szCs w:val="13"/>
              </w:rPr>
            </w:pPr>
            <w:r>
              <w:rPr>
                <w:rFonts w:ascii="Arial Narrow" w:eastAsia="Times New Roman" w:hAnsi="Arial Narrow"/>
                <w:b/>
                <w:bCs/>
                <w:sz w:val="13"/>
                <w:szCs w:val="13"/>
              </w:rPr>
              <w:t xml:space="preserve">177 </w:t>
            </w:r>
            <w:proofErr w:type="spellStart"/>
            <w:r>
              <w:rPr>
                <w:rFonts w:ascii="Arial Narrow" w:eastAsia="Times New Roman" w:hAnsi="Arial Narrow"/>
                <w:b/>
                <w:bCs/>
                <w:sz w:val="13"/>
                <w:szCs w:val="13"/>
              </w:rPr>
              <w:t>fewer</w:t>
            </w:r>
            <w:proofErr w:type="spellEnd"/>
            <w:r>
              <w:rPr>
                <w:rFonts w:ascii="Arial Narrow" w:eastAsia="Times New Roman" w:hAnsi="Arial Narrow"/>
                <w:b/>
                <w:bCs/>
                <w:sz w:val="13"/>
                <w:szCs w:val="13"/>
              </w:rPr>
              <w:t xml:space="preserve"> per 1 000</w:t>
            </w:r>
            <w:r>
              <w:rPr>
                <w:rFonts w:ascii="Arial Narrow" w:eastAsia="Times New Roman" w:hAnsi="Arial Narrow"/>
                <w:sz w:val="13"/>
                <w:szCs w:val="13"/>
              </w:rPr>
              <w:br/>
              <w:t>(</w:t>
            </w:r>
            <w:proofErr w:type="spellStart"/>
            <w:r>
              <w:rPr>
                <w:rFonts w:ascii="Arial Narrow" w:eastAsia="Times New Roman" w:hAnsi="Arial Narrow"/>
                <w:sz w:val="13"/>
                <w:szCs w:val="13"/>
              </w:rPr>
              <w:t>from</w:t>
            </w:r>
            <w:proofErr w:type="spellEnd"/>
            <w:r>
              <w:rPr>
                <w:rFonts w:ascii="Arial Narrow" w:eastAsia="Times New Roman" w:hAnsi="Arial Narrow"/>
                <w:sz w:val="13"/>
                <w:szCs w:val="13"/>
              </w:rPr>
              <w:t xml:space="preserve"> 437 </w:t>
            </w:r>
            <w:proofErr w:type="spellStart"/>
            <w:r>
              <w:rPr>
                <w:rFonts w:ascii="Arial Narrow" w:eastAsia="Times New Roman" w:hAnsi="Arial Narrow"/>
                <w:sz w:val="13"/>
                <w:szCs w:val="13"/>
              </w:rPr>
              <w:t>fewer</w:t>
            </w:r>
            <w:proofErr w:type="spellEnd"/>
            <w:r>
              <w:rPr>
                <w:rFonts w:ascii="Arial Narrow" w:eastAsia="Times New Roman" w:hAnsi="Arial Narrow"/>
                <w:sz w:val="13"/>
                <w:szCs w:val="13"/>
              </w:rPr>
              <w:t xml:space="preserve"> </w:t>
            </w:r>
            <w:proofErr w:type="spellStart"/>
            <w:r>
              <w:rPr>
                <w:rFonts w:ascii="Arial Narrow" w:eastAsia="Times New Roman" w:hAnsi="Arial Narrow"/>
                <w:sz w:val="13"/>
                <w:szCs w:val="13"/>
              </w:rPr>
              <w:t>to</w:t>
            </w:r>
            <w:proofErr w:type="spellEnd"/>
            <w:r>
              <w:rPr>
                <w:rFonts w:ascii="Arial Narrow" w:eastAsia="Times New Roman" w:hAnsi="Arial Narrow"/>
                <w:sz w:val="13"/>
                <w:szCs w:val="13"/>
              </w:rPr>
              <w:t xml:space="preserve"> 1 000 more)</w:t>
            </w:r>
          </w:p>
        </w:tc>
        <w:tc>
          <w:tcPr>
            <w:tcW w:w="506" w:type="pct"/>
            <w:tcBorders>
              <w:top w:val="single" w:sz="6" w:space="0" w:color="000000"/>
              <w:left w:val="single" w:sz="6" w:space="0" w:color="000000"/>
              <w:bottom w:val="single" w:sz="6" w:space="0" w:color="000000"/>
              <w:right w:val="single" w:sz="6" w:space="0" w:color="000000"/>
            </w:tcBorders>
            <w:hideMark/>
          </w:tcPr>
          <w:p w14:paraId="039F96EB" w14:textId="77777777" w:rsidR="00AD4A62" w:rsidRDefault="00AD4A62" w:rsidP="00350225">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proofErr w:type="spellStart"/>
            <w:r>
              <w:rPr>
                <w:rStyle w:val="quality-text"/>
                <w:rFonts w:ascii="Arial Narrow" w:eastAsia="Times New Roman" w:hAnsi="Arial Narrow"/>
                <w:sz w:val="13"/>
                <w:szCs w:val="13"/>
              </w:rPr>
              <w:t>Very</w:t>
            </w:r>
            <w:proofErr w:type="spellEnd"/>
            <w:r>
              <w:rPr>
                <w:rStyle w:val="quality-text"/>
                <w:rFonts w:ascii="Arial Narrow" w:eastAsia="Times New Roman" w:hAnsi="Arial Narrow"/>
                <w:sz w:val="13"/>
                <w:szCs w:val="13"/>
              </w:rPr>
              <w:t xml:space="preserve"> </w:t>
            </w:r>
            <w:proofErr w:type="spellStart"/>
            <w:r>
              <w:rPr>
                <w:rStyle w:val="quality-text"/>
                <w:rFonts w:ascii="Arial Narrow" w:eastAsia="Times New Roman" w:hAnsi="Arial Narrow"/>
                <w:sz w:val="13"/>
                <w:szCs w:val="13"/>
              </w:rPr>
              <w:t>low</w:t>
            </w:r>
            <w:proofErr w:type="spellEnd"/>
          </w:p>
        </w:tc>
        <w:tc>
          <w:tcPr>
            <w:tcW w:w="386" w:type="pct"/>
            <w:tcBorders>
              <w:top w:val="single" w:sz="6" w:space="0" w:color="000000"/>
              <w:left w:val="single" w:sz="6" w:space="0" w:color="000000"/>
              <w:bottom w:val="single" w:sz="6" w:space="0" w:color="000000"/>
              <w:right w:val="single" w:sz="6" w:space="0" w:color="000000"/>
            </w:tcBorders>
            <w:hideMark/>
          </w:tcPr>
          <w:p w14:paraId="1C6D72F7" w14:textId="77777777" w:rsidR="00AD4A62" w:rsidRDefault="00AD4A62" w:rsidP="00350225">
            <w:pPr>
              <w:jc w:val="center"/>
              <w:rPr>
                <w:rFonts w:ascii="Arial Narrow" w:eastAsia="Times New Roman" w:hAnsi="Arial Narrow"/>
                <w:sz w:val="13"/>
                <w:szCs w:val="13"/>
              </w:rPr>
            </w:pPr>
            <w:r>
              <w:rPr>
                <w:rFonts w:ascii="Arial Narrow" w:eastAsia="Times New Roman" w:hAnsi="Arial Narrow"/>
                <w:sz w:val="13"/>
                <w:szCs w:val="13"/>
              </w:rPr>
              <w:t>IMPORTANT</w:t>
            </w:r>
          </w:p>
        </w:tc>
      </w:tr>
    </w:tbl>
    <w:p w14:paraId="5B577208" w14:textId="77777777" w:rsidR="00C64E41" w:rsidRPr="00C64E41" w:rsidRDefault="00C64E41" w:rsidP="00C64E41"/>
    <w:p w14:paraId="704EC407" w14:textId="77777777" w:rsidR="009D62C6" w:rsidRPr="00B90724" w:rsidRDefault="009D62C6" w:rsidP="0036711F">
      <w:pPr>
        <w:rPr>
          <w:rFonts w:eastAsiaTheme="majorEastAsia" w:cstheme="majorBidi"/>
          <w:b/>
          <w:lang w:val="en-US"/>
        </w:rPr>
      </w:pPr>
      <w:r w:rsidRPr="00483D15">
        <w:rPr>
          <w:lang w:val="en-US"/>
        </w:rPr>
        <w:br w:type="page"/>
      </w:r>
    </w:p>
    <w:p w14:paraId="3E551A23" w14:textId="5FFFB850" w:rsidR="00B41FBB" w:rsidRPr="00B90724" w:rsidRDefault="00B41FBB" w:rsidP="0036711F">
      <w:pPr>
        <w:pStyle w:val="Heading1"/>
        <w:rPr>
          <w:b w:val="0"/>
          <w:szCs w:val="24"/>
          <w:lang w:val="en-US"/>
        </w:rPr>
      </w:pPr>
      <w:bookmarkStart w:id="87" w:name="_Toc211542215"/>
      <w:r w:rsidRPr="00B90724">
        <w:rPr>
          <w:szCs w:val="24"/>
          <w:lang w:val="en-US"/>
        </w:rPr>
        <w:lastRenderedPageBreak/>
        <w:t>9. DISCUSSION</w:t>
      </w:r>
      <w:bookmarkEnd w:id="87"/>
    </w:p>
    <w:p w14:paraId="7E1A8AA7" w14:textId="3522A125" w:rsidR="00B41FBB" w:rsidRPr="00B90724" w:rsidRDefault="00B41FBB" w:rsidP="0036711F">
      <w:pPr>
        <w:pStyle w:val="Heading2"/>
        <w:rPr>
          <w:szCs w:val="24"/>
          <w:lang w:val="en-US"/>
        </w:rPr>
      </w:pPr>
      <w:bookmarkStart w:id="88" w:name="_Toc211542216"/>
      <w:r w:rsidRPr="00B90724">
        <w:rPr>
          <w:szCs w:val="24"/>
          <w:lang w:val="en-US"/>
        </w:rPr>
        <w:t xml:space="preserve">9.1. </w:t>
      </w:r>
      <w:r w:rsidR="00573C51" w:rsidRPr="00B90724">
        <w:rPr>
          <w:szCs w:val="24"/>
          <w:lang w:val="en-US"/>
        </w:rPr>
        <w:t>Study I. – Individualized vs. fixed intraoperative PEEP settings</w:t>
      </w:r>
      <w:bookmarkEnd w:id="88"/>
    </w:p>
    <w:p w14:paraId="4D336E2E" w14:textId="799CD3C3" w:rsidR="0046377A" w:rsidRPr="00B90724" w:rsidRDefault="00F927F0" w:rsidP="0036711F">
      <w:pPr>
        <w:rPr>
          <w:lang w:val="en-US"/>
        </w:rPr>
      </w:pPr>
      <w:r w:rsidRPr="00B90724">
        <w:rPr>
          <w:lang w:val="en-US"/>
        </w:rPr>
        <w:t>This systematic review and meta-analysis aimed to assess the impact of individualized versus fixed intraoperative PEEP settings on the incidence of postoperative pulmonary complications.</w:t>
      </w:r>
    </w:p>
    <w:p w14:paraId="50D32900" w14:textId="77777777" w:rsidR="00027321" w:rsidRPr="00B90724" w:rsidRDefault="00027321" w:rsidP="00567AB1">
      <w:pPr>
        <w:pStyle w:val="Heading3"/>
        <w:rPr>
          <w:szCs w:val="24"/>
          <w:lang w:val="en-US"/>
        </w:rPr>
      </w:pPr>
      <w:bookmarkStart w:id="89" w:name="_Toc211542217"/>
      <w:r w:rsidRPr="00B90724">
        <w:rPr>
          <w:szCs w:val="24"/>
          <w:lang w:val="en-US"/>
        </w:rPr>
        <w:t xml:space="preserve">9.1.1. </w:t>
      </w:r>
      <w:r w:rsidR="00F47792" w:rsidRPr="00B90724">
        <w:rPr>
          <w:szCs w:val="24"/>
          <w:lang w:val="en-US"/>
        </w:rPr>
        <w:t>P</w:t>
      </w:r>
      <w:r w:rsidRPr="00B90724">
        <w:rPr>
          <w:szCs w:val="24"/>
          <w:lang w:val="en-US"/>
        </w:rPr>
        <w:t>ositive End-Expiratory Pressure settings</w:t>
      </w:r>
      <w:bookmarkEnd w:id="89"/>
    </w:p>
    <w:p w14:paraId="54763B4C" w14:textId="432D10C9" w:rsidR="00766F59" w:rsidRPr="00B90724" w:rsidRDefault="00766F59" w:rsidP="0036711F">
      <w:pPr>
        <w:rPr>
          <w:lang w:val="en-US"/>
        </w:rPr>
      </w:pPr>
      <w:r w:rsidRPr="00B90724">
        <w:rPr>
          <w:lang w:val="en-US"/>
        </w:rPr>
        <w:t xml:space="preserve">On average, the optimal PEEP value in the intervention groups was approximately 6.27 cm H₂O higher than the mean PEEP used in the </w:t>
      </w:r>
      <w:r w:rsidR="0046796C" w:rsidRPr="00B90724">
        <w:rPr>
          <w:lang w:val="en-US"/>
        </w:rPr>
        <w:t>CGs</w:t>
      </w:r>
      <w:r w:rsidRPr="00B90724">
        <w:rPr>
          <w:lang w:val="en-US"/>
        </w:rPr>
        <w:t xml:space="preserve">, aligning with findings from previous studies. This suggests that individual PEEP requirements often exceed the currently recommended </w:t>
      </w:r>
      <w:r w:rsidR="00E4124A" w:rsidRPr="00B90724">
        <w:rPr>
          <w:lang w:val="en-US"/>
        </w:rPr>
        <w:t xml:space="preserve">levels </w:t>
      </w:r>
      <w:r w:rsidRPr="00B90724">
        <w:rPr>
          <w:lang w:val="en-US"/>
        </w:rPr>
        <w:t>of 5–6 cm H₂O</w:t>
      </w:r>
      <w:r w:rsidR="00BD573F" w:rsidRPr="00B90724">
        <w:rPr>
          <w:lang w:val="en-US"/>
        </w:rPr>
        <w:t xml:space="preserve"> </w:t>
      </w:r>
      <w:r w:rsidR="004913ED" w:rsidRPr="00B90724">
        <w:rPr>
          <w:lang w:val="en-US"/>
        </w:rPr>
        <w:fldChar w:fldCharType="begin"/>
      </w:r>
      <w:r w:rsidR="00A20273" w:rsidRPr="00B90724">
        <w:rPr>
          <w:lang w:val="en-US"/>
        </w:rPr>
        <w:instrText xml:space="preserve"> ADDIN ZOTERO_ITEM CSL_CITATION {"citationID":"GkgI5dFE","properties":{"formattedCitation":"[16,94]","plainCitation":"[16,94]","noteIndex":0},"citationItems":[{"id":189,"uris":["http://zotero.org/users/local/L5HAWlIW/items/N78M9P4Y"],"itemData":{"id":189,"type":"article-journal","abstract":"&lt;AbstractText Label=\"BACKGROUND\"&gt;Individualised positive end-expiratory pressure (PEEP) may optimise pulmonary compliance, thereby potentially mitigating lung injury. This meta-analysis aimed to determine the impact of individualised PEEP vs fixed PEEP during abdominal surgery on postoperative pulmonary outcomes.&lt;/AbstractText&gt; &lt;AbstractText Label=\"METHODS\"&gt;Medical databases (PubMed, Embase, Web of Science, ScienceDirect, Google Scholar, and the China National Knowledge Infrastructure) were searched for RCTs comparing fixed vs individualised PEEP. The composite primary outcome of pulmonary complications comprised hypoxaemia, atelectasis, pneumonia, and acute respiratory distress syndrome. Secondary outcomes included oxygenation (P&lt;sub&gt;a&lt;/sub&gt;O&lt;sub&gt;2&lt;/sub&gt;/FiO&lt;sub&gt;2&lt;/sub&gt;) and systemic inflammatory markers (interleukin-6 [IL-6] and club cell protein-16 [CC16]). We calculated risk ratios (RRs) and mean differences (MDs) with 95% confidence interval (CI) using DerSimonian and Laird random effects models. Cochrane risk-of-bias tool was applied.&lt;/AbstractText&gt; &lt;AbstractText Label=\"RESULTS\"&gt;Ten RCTs (n=1117 patients) met the criteria for inclusion, with six reporting the primary endpoint. Individualised PEEP reduced the incidence of overall pulmonary complications (141/412 [34.2%]) compared with 183/415 (44.1%) receiving fixed PEEP (RR 0.69 [95% CI: 0.51-0.93]; P=0.016; I&lt;sup&gt;2&lt;/sup&gt;=43%). Risk-of-bias analysis did not alter these findings. Individualised PEEP reduced postoperative hypoxaemia (74/392 [18.9%]) compared with 110/395 (27.8%) participants receiving fixed PEEP (RR 0.68 [0.52-0.88]; P=0.003; I&lt;sup&gt;2&lt;/sup&gt;=0%) but not postoperative atelectasis (RR 0.93 [0.81-1.07]; P=0.297; I&lt;sup&gt;2&lt;/sup&gt;=0%). Individualised PEEP resulted in higher P&lt;sub&gt;a&lt;/sub&gt;O&lt;sub&gt;2&lt;/sub&gt;/FiO&lt;sub&gt;2&lt;/sub&gt; (MD 20.8 mm Hg [4.6-36.9]; P=0.012; I&lt;sup&gt;2&lt;/sup&gt;=80%) and reduced systemic inflammation (lower plasma IL-6 [MD -6.8 pg ml&lt;sup&gt;-1&lt;/sup&gt;; -11.9 to -1.7]; P=0.009; I&lt;sup&gt;2&lt;/sup&gt;=6%; and CC16 levels [MD -6.2 ng ml&lt;sup&gt;-1&lt;/sup&gt;; -8.8 to -3.5]; P&amp;lt;0.001; I&lt;sup&gt;2&lt;/sup&gt;=0%) at the end of surgery.&lt;/AbstractText&gt; &lt;AbstractText Label=\"CONCLUSIONS\"&gt;Individualised PEEP may reduce pulmonary complications, improve oxygenation, and reduce systemic inflammation after abdominal surgery.&lt;/AbstractText&gt; &lt;AbstractText Label=\"CLINICAL TRIAL REGISTRATION\"&gt;CRD42021277973.&lt;/AbstractText&gt; &lt;CopyrightInformation&gt;Copyright © 2022 British Journal of Anaesthesia. Published by Elsevier Ltd. All rights reserved.&lt;/CopyrightInformation&gt;","container-title":"British journal of anaesthesia","DOI":"10.1016/j.bja.2022.07.009","issue":"5","note":"publisher: Oxford University Press","page":"815-825","title":"Individualised positive end-expiratory pressure in abdominal surgery: a systematic review and meta-analysis.","volume":"129","author":[{"family":"Zorrilla-Vaca","given":"Andres; Grant","suffix":"Michael C; Urman, Richard D; Frendl, Gyorgy"}],"issued":{"date-parts":[["2022"]]}}},{"id":42,"uris":["http://zotero.org/users/local/L5HAWlIW/items/I8AEPRU4"],"itemData":{"id":42,"type":"article-journal","container-title":"Medicine","DOI":"10.1097/MD.0000000000026638","ISSN":"0025-7974, 1536-5964","issue":"28","language":"en","note":"number: 28","page":"e26638","source":"DOI.org (Crossref)","title":"Individualized positive end-expiratory pressure (PEEP) during one-lung ventilation for prevention of postoperative pulmonary complications in patients undergoing thoracic surgery: A meta-analysis","title-short":"Individualized positive end-expiratory pressure (PEEP) during one-lung ventilation for prevention of postoperative pulmonary complications in patients undergoing thoracic surgery","volume":"100","author":[{"family":"Li","given":"Pule"},{"family":"Kang","given":"Xia"},{"family":"Miao","given":"Mengrong"},{"family":"Zhang","given":"Jiaqiang"}],"issued":{"date-parts":[["2021",7,16]]}}}],"schema":"https://github.com/citation-style-language/schema/raw/master/csl-citation.json"} </w:instrText>
      </w:r>
      <w:r w:rsidR="004913ED" w:rsidRPr="00B90724">
        <w:rPr>
          <w:lang w:val="en-US"/>
        </w:rPr>
        <w:fldChar w:fldCharType="separate"/>
      </w:r>
      <w:r w:rsidR="00A20273" w:rsidRPr="00B90724">
        <w:rPr>
          <w:rFonts w:cs="Times New Roman"/>
        </w:rPr>
        <w:t>[16,94]</w:t>
      </w:r>
      <w:r w:rsidR="004913ED" w:rsidRPr="00B90724">
        <w:rPr>
          <w:lang w:val="en-US"/>
        </w:rPr>
        <w:fldChar w:fldCharType="end"/>
      </w:r>
      <w:r w:rsidR="00BD573F" w:rsidRPr="00B90724">
        <w:rPr>
          <w:lang w:val="en-US"/>
        </w:rPr>
        <w:t>.</w:t>
      </w:r>
    </w:p>
    <w:p w14:paraId="2744894A" w14:textId="4FC43D62" w:rsidR="00095563" w:rsidRPr="00B90724" w:rsidRDefault="00FC2082" w:rsidP="0036711F">
      <w:pPr>
        <w:rPr>
          <w:lang w:val="en-US"/>
        </w:rPr>
      </w:pPr>
      <w:r w:rsidRPr="00B90724">
        <w:rPr>
          <w:lang w:val="en-US"/>
        </w:rPr>
        <w:t>Subgroup analysis of the obese population revealed an even greater difference, with a mean PEEP increase of 8.16 cm H₂O, indicating that higher PEEP levels were required to prevent atelectasis in this group.</w:t>
      </w:r>
      <w:r w:rsidR="00585F6C" w:rsidRPr="00B90724">
        <w:rPr>
          <w:lang w:val="en-US"/>
        </w:rPr>
        <w:t xml:space="preserve"> </w:t>
      </w:r>
      <w:r w:rsidR="00095563" w:rsidRPr="00B90724">
        <w:rPr>
          <w:lang w:val="en-US"/>
        </w:rPr>
        <w:t xml:space="preserve">The effects of higher PEEP </w:t>
      </w:r>
      <w:r w:rsidR="00E4124A" w:rsidRPr="00B90724">
        <w:rPr>
          <w:lang w:val="en-US"/>
        </w:rPr>
        <w:t xml:space="preserve">levels </w:t>
      </w:r>
      <w:r w:rsidR="00095563" w:rsidRPr="00B90724">
        <w:rPr>
          <w:lang w:val="en-US"/>
        </w:rPr>
        <w:t xml:space="preserve">(12 vs. 4 cm H₂O) were investigated in </w:t>
      </w:r>
      <w:r w:rsidR="00CB0B24" w:rsidRPr="00B90724">
        <w:rPr>
          <w:lang w:val="en-US"/>
        </w:rPr>
        <w:t>a</w:t>
      </w:r>
      <w:r w:rsidR="00E4124A" w:rsidRPr="00B90724">
        <w:rPr>
          <w:lang w:val="en-US"/>
        </w:rPr>
        <w:t xml:space="preserve"> previous</w:t>
      </w:r>
      <w:r w:rsidR="00CB0B24" w:rsidRPr="00B90724">
        <w:rPr>
          <w:lang w:val="en-US"/>
        </w:rPr>
        <w:t xml:space="preserve"> large RCT</w:t>
      </w:r>
      <w:r w:rsidR="00095563" w:rsidRPr="00B90724">
        <w:rPr>
          <w:lang w:val="en-US"/>
        </w:rPr>
        <w:t>, which did not demonstrate a reduction in postoperative pulmonary complications (PPCs)—a finding consistent with our subgroup analysis of obese patients</w:t>
      </w:r>
      <w:r w:rsidR="00CB0B24" w:rsidRPr="00B90724">
        <w:rPr>
          <w:lang w:val="en-US"/>
        </w:rPr>
        <w:t xml:space="preserve"> (RR= 0.79, CI: 0.01–069,84, I2=48%, p=0.84)</w:t>
      </w:r>
      <w:r w:rsidR="00BD573F" w:rsidRPr="00B90724">
        <w:rPr>
          <w:lang w:val="en-US"/>
        </w:rPr>
        <w:t xml:space="preserve"> </w:t>
      </w:r>
      <w:r w:rsidR="00CB0B24" w:rsidRPr="00B90724">
        <w:rPr>
          <w:lang w:val="en-US"/>
        </w:rPr>
        <w:fldChar w:fldCharType="begin"/>
      </w:r>
      <w:r w:rsidR="00A20273" w:rsidRPr="00B90724">
        <w:rPr>
          <w:lang w:val="en-US"/>
        </w:rPr>
        <w:instrText xml:space="preserve"> ADDIN ZOTERO_ITEM CSL_CITATION {"citationID":"2Th4RVbq","properties":{"formattedCitation":"[14,49,54,95]","plainCitation":"[14,49,54,95]","noteIndex":0},"citationItems":[{"id":163,"uris":["http://zotero.org/users/local/L5HAWlIW/items/V9KG3S7Z"],"itemData":{"id":163,"type":"article-journal","abstract":"Abstract Background General anaesthesia leads to atelectasis, reduced end-expiratory lung volume (EELV), and diminished arterial oxygenation in obese patients. We hypothesized that a combination of a recruitment manoeuvre (RM) and individualized positive end-expiratory pressure (PEEP) can avoid these effects. Methods Patients with a BMI ≥35 kg m−2 undergoing elective laparoscopic surgery were randomly allocated to mechanical ventilation with a tidal volume of 8 ml kg−1 predicted body weight and (i) an RM followed by individualized PEEP titrated using electrical impedance tomography (PEEPIND) or (ii) no RM and PEEP of 5 cm H2O (PEEP5). Gas exchange, regional ventilation distribution, and EELV (multiple breath nitrogen washout method) were determined before, during, and after anaesthesia. The primary end point was the ratio of arterial partial pressure of oxygen to inspiratory oxygen fraction (PaO2/FiO2). Results For PEEPIND (n=25) and PEEP5 (n=25) arms together, PaO2/FiO2 and EELV decreased by 15 kPa [95% confidence interval (CI) 11–20 kPa, P Conclusions In obese patients, an RM and higher PEEPIND restored EELV, regional ventilation distribution, and oxygenation during anaesthesia, but these differences did not persist after extubation. Therefore, lung protection strategies should include the postoperative period. Clinical trial registration German clinical trials register DRKS00004199, www.who.int/ictrp/network/drks2/en/.","container-title":"British journal of anaesthesia","DOI":"10.1093/bja/aex192","issue":"6","note":"publisher: Oxford University Press","page":"1194-1205","title":"Individualized positive end-expiratory pressure in obese patients during general anaesthesia: a randomized controlled clinical trial using electrical impedance tomography","volume":"119","author":[{"family":"Nestler","given":"C.; Simon","suffix":"P.; Petroff, David; Hammermüller, Sören; Kamrath, D.; Wolf, Samuel J.; Dietrich, Arne; Camilo, Luciana Moisés; Beda, Alessandro; Carvalho, Alysson R.; Giannella-Neto, Antonio; Reske, Andreas W.; Wrigge, Hermann"}],"issued":{"date-parts":[["2017"]]}}},{"id":5098,"uris":["http://zotero.org/users/local/L5HAWlIW/items/J3ZK4QUY"],"itemData":{"id":5098,"type":"article-journal","container-title":"JAMA","DOI":"10.1001/jama.2019.7505","ISSN":"0098-7484","issue":"23","journalAbbreviation":"JAMA","language":"en","page":"2292","source":"DOI.org (Crossref)","title":"Effect of Intraoperative High Positive End-Expiratory Pressure (PEEP) With Recruitment Maneuvers vs Low PEEP on Postoperative Pulmonary Complications in Obese Patients: A Randomized Clinical Trial","title-short":"Effect of Intraoperative High Positive End-Expiratory Pressure (PEEP) With Recruitment Maneuvers vs Low PEEP on Postoperative Pulmonary Complications in Obese Patients","volume":"321","author":[{"literal":"Writing Committee for the PROBESE Collaborative Group of the PROtective VEntilation Network (PROVEnet) for the Clinical Trial Network of the European Society of Anaesthesiology"},{"family":"Bluth","given":"Thomas"},{"family":"Serpa Neto","given":"Ary"},{"family":"Schultz","given":"Marcus J."},{"family":"Pelosi","given":"Paolo"},{"family":"Gama De Abreu","given":"Marcelo"}],"issued":{"date-parts":[["2019",6,18]]}}},{"id":177,"uris":["http://zotero.org/users/local/L5HAWlIW/items/TAVD8H27"],"itemData":{"id":177,"type":"article-journal","abstract":"NA","container-title":"Surgery for obesity and related diseases : official journal of the American Society for Bariatric Surgery","DOI":"10.1016/j.soard.2020.09.023","issue":"2","note":"publisher: Elsevier Inc.","page":"372-378","title":"The use of intraoperative bedside lung ultrasound in optimizing positive end expiratory pressure in obese patients undergoing laparoscopic bariatric surgeries.","volume":"17","author":[{"family":"Elshazly","given":"M.O.; Khair","suffix":"Tamer Mohamed; Bassem, Marina; Mansour, M. A."}],"issued":{"date-parts":[["2020"]]}}},{"id":1577,"uris":["http://zotero.org/users/local/L5HAWlIW/items/2Q6YJM6C"],"itemData":{"id":1577,"type":"article-journal","abstract":"BACKGROUND: Individualized positive end‐expiratory pressure (PEEP) guided by dynamic compliance improves oxygenation and reduces postoperative atelectasis in nonobese patients. The authors hypothesized that dynamic compliance‐guided PEEP could also reduce postoperative atelectasis in patients undergoing bariatric surgery. METHODS: Patients scheduled to undergo laparoscopic bariatric surgery were eligible. Dynamic compliance‐guided PEEP titration was conducted in all patients using a downward approach. A recruitment maneuver (PEEP from 10 to 25 cm H2O at 5‐cm H2O step every 30 s, with 15‐cm H2O driving pressure) was conducted both before and after the titration. Patients were then randomized (1:1) to undergo surgery under dynamic compliance‐guided PEEP (PEEP with highest dynamic compliance plus 2 cm H2O) or PEEP of 8 cm H2O. The primary outcome was postoperative atelectasis, as assessed with computed tomography at 60 to 90 min after extubation, and expressed as percentage to total lung tissue volume. Secondary outcomes included Pao2/inspiratory oxygen fraction (Fio2) and postoperative pulmonary complications. RESULTS: Forty patients (mean ± SD; 28 ± 7 yr of age; 25 females; average body mass index, 41.0 ± 4.7 kg/m2) were enrolled. Median PEEP with highest dynamic compliance during titration was 15 cm H2O (interquartile range, 13 to 17; range, 8 to 19) in the entire sample of 40 patients. The primary outcome of postoperative atelectasis (available in 19 patients in each group) was 13.1 ± 5.3% and 9.5 ± 4.3% in the PEEP of 8 cm H2O and dynamic compliance‐guided PEEP groups, respectively (intergroup difference, 3.7%; 95% CI, 0.5 to 6.8%; P = 0.025). Pao2/Fio2 at 1 h after pneumoperitoneum was higher in the dynamic compliance‐guided PEEP group (397 vs. 337 mmHg; group difference, 60; 95% CI, 9 to 111; P = 0.017) but did not differ between the two groups 30 min after extubation (359 vs. 375 mmHg; group difference, ‐17; 95% CI, ‐53 to 21; P = 0.183). The incidence of postoperative pulmonary complications was 4 of 20 in both groups. CONCLUSIONS: Postoperative atelectasis was lower in patients undergoing laparoscopic bariatric surgery under dynamic compliance‐guided PEEP versus PEEP of 8 cm H2O. Postoperative Pao2/Fio2 did not differ between the two groups.","archive_location":"CN-02581757","container-title":"Anesthesiology","DOI":"10.1097/ALN.0000000000004603","issue":"3","journalAbbreviation":"Anesthesiology","page":"262‐273","title":"Individualized Positive End-expiratory Pressure on Postoperative Atelectasis in Patients with Obesity: a Randomized Controlled Clinical Trial","volume":"139","author":[{"family":"Li","given":"X"},{"family":"Liu","given":"H"},{"family":"Wang","given":"J"},{"family":"Ni","given":"ZL"},{"family":"Liu","given":"ZX"},{"family":"Jiao","given":"JL"},{"family":"Han","given":"Y"},{"family":"Cao","given":"JL"}],"issued":{"date-parts":[["2023"]]}}}],"schema":"https://github.com/citation-style-language/schema/raw/master/csl-citation.json"} </w:instrText>
      </w:r>
      <w:r w:rsidR="00CB0B24" w:rsidRPr="00B90724">
        <w:rPr>
          <w:lang w:val="en-US"/>
        </w:rPr>
        <w:fldChar w:fldCharType="separate"/>
      </w:r>
      <w:r w:rsidR="00A20273" w:rsidRPr="00B90724">
        <w:rPr>
          <w:rFonts w:cs="Times New Roman"/>
        </w:rPr>
        <w:t>[14,49,54,95]</w:t>
      </w:r>
      <w:r w:rsidR="00CB0B24" w:rsidRPr="00B90724">
        <w:rPr>
          <w:lang w:val="en-US"/>
        </w:rPr>
        <w:fldChar w:fldCharType="end"/>
      </w:r>
      <w:r w:rsidR="00BD573F" w:rsidRPr="00B90724">
        <w:rPr>
          <w:lang w:val="en-US"/>
        </w:rPr>
        <w:t>.</w:t>
      </w:r>
    </w:p>
    <w:p w14:paraId="2E97E4A1" w14:textId="3848AA9E" w:rsidR="00987D2E" w:rsidRPr="00B90724" w:rsidRDefault="00027321" w:rsidP="000D47A5">
      <w:pPr>
        <w:pStyle w:val="Heading3"/>
        <w:rPr>
          <w:szCs w:val="24"/>
          <w:lang w:val="en-US"/>
        </w:rPr>
      </w:pPr>
      <w:bookmarkStart w:id="90" w:name="_Toc211542218"/>
      <w:r w:rsidRPr="00B90724">
        <w:rPr>
          <w:szCs w:val="24"/>
          <w:lang w:val="en-US"/>
        </w:rPr>
        <w:t>9.1.2.</w:t>
      </w:r>
      <w:r w:rsidR="003653A8" w:rsidRPr="00B90724">
        <w:rPr>
          <w:szCs w:val="24"/>
          <w:lang w:val="en-US"/>
        </w:rPr>
        <w:t xml:space="preserve"> </w:t>
      </w:r>
      <w:r w:rsidR="00987D2E" w:rsidRPr="00B90724">
        <w:rPr>
          <w:szCs w:val="24"/>
          <w:lang w:val="en-US"/>
        </w:rPr>
        <w:t>Postoperative Pulmonary Complications and Oxygenation</w:t>
      </w:r>
      <w:bookmarkEnd w:id="90"/>
    </w:p>
    <w:p w14:paraId="4FF83B4D" w14:textId="5381B703" w:rsidR="0064340C" w:rsidRPr="00B90724" w:rsidRDefault="00F55802" w:rsidP="0036711F">
      <w:pPr>
        <w:rPr>
          <w:lang w:val="en-US"/>
        </w:rPr>
      </w:pPr>
      <w:r w:rsidRPr="00B90724">
        <w:rPr>
          <w:lang w:val="en-US"/>
        </w:rPr>
        <w:t>Our primary outcome was the incidence of</w:t>
      </w:r>
      <w:r w:rsidR="00A0483F" w:rsidRPr="00B90724">
        <w:rPr>
          <w:lang w:val="en-US"/>
        </w:rPr>
        <w:t xml:space="preserve"> PPCs</w:t>
      </w:r>
      <w:r w:rsidRPr="00B90724">
        <w:rPr>
          <w:lang w:val="en-US"/>
        </w:rPr>
        <w:t>(PPCs)</w:t>
      </w:r>
      <w:r w:rsidR="00D4691F" w:rsidRPr="00B90724">
        <w:rPr>
          <w:lang w:val="en-US"/>
        </w:rPr>
        <w:t>, defined based on a previous consensus recommendation and included atelectasis, pneumonia, acute respiratory distress syndrome (ARDS), and pulmonary aspiration, either occurring alone or in combination</w:t>
      </w:r>
      <w:r w:rsidR="00BD573F" w:rsidRPr="00B90724">
        <w:rPr>
          <w:lang w:val="en-US"/>
        </w:rPr>
        <w:t xml:space="preserve"> </w:t>
      </w:r>
      <w:r w:rsidR="0044602D" w:rsidRPr="00B90724">
        <w:rPr>
          <w:lang w:val="en-US"/>
        </w:rPr>
        <w:fldChar w:fldCharType="begin"/>
      </w:r>
      <w:r w:rsidR="003D1005" w:rsidRPr="00B90724">
        <w:rPr>
          <w:lang w:val="en-US"/>
        </w:rPr>
        <w:instrText xml:space="preserve"> ADDIN ZOTERO_ITEM CSL_CITATION {"citationID":"ruZZGhFW","properties":{"formattedCitation":"[11]","plainCitation":"[11]","noteIndex":0},"citationItems":[{"id":1,"uris":["http://zotero.org/users/local/L5HAWlIW/items/UMC44H9J"],"itemData":{"id":1,"type":"article-journal","container-title":"British Journal of Anaesthesia","DOI":"10.1016/j.bja.2018.02.007","ISSN":"00070912","issue":"5","journalAbbreviation":"British Journal of Anaesthesia","language":"en","note":"number: 5","page":"1066-1079","source":"DOI.org (Crossref)","title":"A systematic review and consensus definitions for standardised end-points in perioperative medicine: pulmonary complications","title-short":"A systematic review and consensus definitions for standardised end-points in perioperative medicine","volume":"120","author":[{"family":"Abbott","given":"T.E.F."},{"family":"Fowler","given":"A.J."},{"family":"Pelosi","given":"P."},{"family":"Gama de Abreu","given":"M."},{"family":"Møller","given":"A.M."},{"family":"Canet","given":"J."},{"family":"Creagh-Brown","given":"B."},{"family":"Mythen","given":"M."},{"family":"Gin","given":"T."},{"family":"Lalu","given":"M.M."},{"family":"Futier","given":"E."},{"family":"Grocott","given":"M.P."},{"family":"Schultz","given":"M.J."},{"family":"Pearse","given":"R.M."},{"family":"Myles","given":"P."},{"family":"Gan","given":"T.J."},{"family":"Kurz","given":"A."},{"family":"Peyton","given":"P."},{"family":"Sessler","given":"D."},{"family":"Tramèr","given":"M."},{"family":"Cyna","given":"A."},{"family":"De Oliveira","given":"G.S."},{"family":"Wu","given":"C."},{"family":"Jensen","given":"M."},{"family":"Kehlet","given":"H."},{"family":"Botti","given":"M."},{"family":"Boney","given":"O."},{"family":"Haller","given":"G."},{"family":"Grocott","given":"M."},{"family":"Cook","given":"T."},{"family":"Fleisher","given":"L."},{"family":"Neuman","given":"M."},{"family":"Story","given":"D."},{"family":"Gruen","given":"R."},{"family":"Bampoe","given":"S."},{"family":"Evered","given":"Lis"},{"family":"Scott","given":"D."},{"family":"Silbert","given":"B."},{"family":"Dijk","given":"D.","non-dropping-particle":"van"},{"family":"Kalkman","given":"C."},{"family":"Chan","given":"M."},{"family":"Grocott","given":"H."},{"family":"Eckenhoff","given":"R."},{"family":"Rasmussen","given":"L."},{"family":"Eriksson","given":"L."},{"family":"Beattie","given":"S."},{"family":"Wijeysundera","given":"D."},{"family":"Landoni","given":"G."},{"family":"Leslie","given":"K."},{"family":"Biccard","given":"B."},{"family":"Howell","given":"S."},{"family":"Nagele","given":"P."},{"family":"Richards","given":"T."},{"family":"Lamy","given":"A."},{"family":"Gabreu","given":"M."},{"family":"Klein","given":"A."},{"family":"Corcoran","given":"T."},{"family":"Jamie Cooper","given":"D."},{"family":"Dieleman","given":"S."},{"family":"Diouf","given":"E."},{"family":"McIlroy","given":"D."},{"family":"Bellomo","given":"R."},{"family":"Shaw","given":"A."},{"family":"Prowle","given":"J."},{"family":"Karkouti","given":"K."},{"family":"Billings","given":"J."},{"family":"Mazer","given":"D."},{"family":"Jayarajah","given":"M."},{"family":"Murphy","given":"M."},{"family":"Bartoszko","given":"J."},{"family":"Sneyd","given":"R."},{"family":"Morris","given":"S."},{"family":"George","given":"R."},{"family":"Moonesinghe","given":"R."},{"family":"Shulman","given":"M."},{"family":"Lane-Fall","given":"M."},{"family":"Nilsson","given":"U."},{"family":"Stevenson","given":"N."},{"family":"Klei","given":"W.","non-dropping-particle":"van"},{"family":"Cabrini","given":"L."},{"family":"Miller","given":"T."},{"family":"Pace","given":"N."},{"family":"Jackson","given":"S."},{"family":"Buggy","given":"D."},{"family":"Short","given":"T."},{"family":"Riedel","given":"B."},{"family":"Gottumukkala","given":"V."},{"family":"Alkhaffaf","given":"B."},{"family":"Johnson","given":"M."}],"issued":{"date-parts":[["2018",5]]}}}],"schema":"https://github.com/citation-style-language/schema/raw/master/csl-citation.json"} </w:instrText>
      </w:r>
      <w:r w:rsidR="0044602D" w:rsidRPr="00B90724">
        <w:rPr>
          <w:lang w:val="en-US"/>
        </w:rPr>
        <w:fldChar w:fldCharType="separate"/>
      </w:r>
      <w:r w:rsidR="003D1005" w:rsidRPr="00B90724">
        <w:rPr>
          <w:rFonts w:cs="Times New Roman"/>
        </w:rPr>
        <w:t>[11]</w:t>
      </w:r>
      <w:r w:rsidR="0044602D" w:rsidRPr="00B90724">
        <w:rPr>
          <w:lang w:val="en-US"/>
        </w:rPr>
        <w:fldChar w:fldCharType="end"/>
      </w:r>
      <w:r w:rsidR="00BD573F" w:rsidRPr="00B90724">
        <w:rPr>
          <w:lang w:val="en-US"/>
        </w:rPr>
        <w:t>.</w:t>
      </w:r>
      <w:r w:rsidRPr="00B90724">
        <w:rPr>
          <w:lang w:val="en-US"/>
        </w:rPr>
        <w:t xml:space="preserve"> PPCs are common after major abdominal surgeries and contribute to prolonged hospital stays, increased morbidity, and higher mortality rates</w:t>
      </w:r>
      <w:r w:rsidR="00BD573F" w:rsidRPr="00B90724">
        <w:rPr>
          <w:lang w:val="en-US"/>
        </w:rPr>
        <w:t xml:space="preserve"> </w:t>
      </w:r>
      <w:r w:rsidR="007F7A7B" w:rsidRPr="00B90724">
        <w:rPr>
          <w:lang w:val="en-US"/>
        </w:rPr>
        <w:fldChar w:fldCharType="begin"/>
      </w:r>
      <w:r w:rsidR="00A20273" w:rsidRPr="00B90724">
        <w:rPr>
          <w:lang w:val="en-US"/>
        </w:rPr>
        <w:instrText xml:space="preserve"> ADDIN ZOTERO_ITEM CSL_CITATION {"citationID":"ALRZKIIf","properties":{"formattedCitation":"[96\\uc0\\u8211{}98]","plainCitation":"[96–98]","noteIndex":0},"citationItems":[{"id":126,"uris":["http://zotero.org/users/local/L5HAWlIW/items/QIRE5YZR"],"itemData":{"id":126,"type":"article-journal","abstract":"OBJECTIVE: Internists frequently evaluate preoperative cardiopulmonary risk and comanage cardiac and pulmonary complications, but the comparative incidence and clinical importance of these complications are not clearly delineated. This study evaluated incidence and length of stay for both cardiac and pulmonary complications after elective laparotomy.","container-title":"Journal of general internal medicine","DOI":"10.1007/bf02602761","issue":"12","note":"publisher: Springer Nature","page":"671-678","title":"Incidence and hospital stay for cardiac and pulmonary complications after abdominal surgery.","volume":"10","author":[{"family":"Lawrence","given":"Valerie A.; Hilsenbeck","suffix":"Susan G.; Mulrow, Cynthia D.; Dhanda, Rahul; Sapp, Joan; Page, Carey P."}],"issued":{"date-parts":[["1995"]]}}},{"id":185,"uris":["http://zotero.org/users/local/L5HAWlIW/items/L7EPHCU8"],"itemData":{"id":185,"type":"article-journal","abstract":"Abstract Background Postoperative pulmonary complications (PPCs) after major abdominal surgery are common and associated with significant morbidity and high cost of care. The objective of this study was to identify the risk factors for PPCs after major abdominal surgery. Materials and methods The American College of Surgeons' National Surgical Quality Improvement Program database from 2005–2012 was queried for patients who underwent major abdominal surgery (esophagectomy, gastrectomy, pacnreatectomy, enterectomy, hepatectomy, colectomy, and proctectomy). Predictors of PPCs were identified using multivariate logistic regression. Results Of 165,196 patients who underwent major abdominal surgery 9595 (5.8%) suffered PPCs (pneumonia 3.2%, prolonged ventilator support ≥48 h 3.0%, and unplanned intubation 2.8%). On multivariate analysis, significant predictors of overall and individual PPCs include esophagectomy, advanced American Society of Anesthesiology Classification System, dependent functional status, prolonged operative time, age ≥80 y, severe chronic obstructive pulmonary disease, preoperative shock, ascites, and smoking. Obesity was not a risk factor. Female gender was overall protective for PPCs. Conclusions PPCs after abdominal procedures are associated with a number of clinical variables. Esophageal operations and American Society of Anesthesiology Classification System were the strongest predictors. These results provide a framework for identifying patients at risk for developing pulmonary complications after major abdominal surgery.","container-title":"The Journal of surgical research","DOI":"10.1016/j.jss.2015.03.028","issue":"2","note":"publisher: Academic Press Inc.","page":"441-449","title":"Pulmonary complications after major abdominal surgery: National Surgical Quality Improvement Program analysis","volume":"198","author":[{"family":"Yang","given":"Chun Kevin; Teng","suffix":"Annabelle; Lee, David Y.; Rose, Keith"}],"issued":{"date-parts":[["2015"]]}}},{"id":172,"uris":["http://zotero.org/users/local/L5HAWlIW/items/6KI3DVF6"],"itemData":{"id":172,"type":"article-journal","abstract":"Postoperative pulmonary complications (PPC) are an under-reported but major cause of perioperative morbidity and mortality. The aim of this prospective, contemporary, multicentre cohort study of unselected patients undergoing major elective abdominal surgery was to determine the incidence and effects of PPC. Data on all major elective abdominal operations performed over a 2-week period in December 2014 were collected in six hospitals. The primary outcome measure of PPC at 7 days was used. Univariate and multivariate analyses were performed to investigate how different factors were associated with PPC and the effects of such complications. Two hundred sixty-eight major elective abdominal operations were performed, and the internal validation showed that the data set was 99 % accurate. Thirty-two (11.9 %) PPC were reported at 7 days. PPC was more common in patients with a history of chronic obstructive pulmonary disease compared to those with no history (26.7 vs. 10.2 %, p &lt; 0.001). PPC was not associated with other patient factors (e.g. age, gender, body mass index or other comorbidities), type/method of operation or postoperative analgesia. The risk of PPC appeared to increase with every additional minute of operating time independent of other factors (odds ratio 1.01 (95 % confidence intervals 1.00–1.02), p = 0.007). PPC significantly increase the length of hospital stay (10 vs. 3 days). Attendance to the emergency department within 30 days (27.3 vs. 10.6 %), 30-day readmission (21.7 vs. 9.9 %) and 30-day mortality (12.5 vs. 0.0 %) was higher in those with PPC. PPC are common and have profound effects on outcomes. Strategies need to be considered to reduce PPC.","container-title":"Perioperative medicine (London, England)","DOI":"10.1186/s13741-016-0037-0","issue":"1","note":"publisher: Springer Science + Business Media","page":"10-10","title":"Postoperative pulmonary complications following major elective abdominal surgery: a cohort study","volume":"5","author":[{"family":"Patel","given":"Kamlesh; Hadian","suffix":"Fatemeh; Ali, Aysha; Broadley, Graham; Evans, Kate; Horder, Claire; Johnstone, Marianne; Langlands, Fiona; Matthews, Jake; Narayan, Prithish; Rallon, Priya; Roberts, Charlotte; Shah, Sonali; Vohra, Ravinder S."}],"issued":{"date-parts":[["2016"]]}}}],"schema":"https://github.com/citation-style-language/schema/raw/master/csl-citation.json"} </w:instrText>
      </w:r>
      <w:r w:rsidR="007F7A7B" w:rsidRPr="00B90724">
        <w:rPr>
          <w:lang w:val="en-US"/>
        </w:rPr>
        <w:fldChar w:fldCharType="separate"/>
      </w:r>
      <w:r w:rsidR="00A20273" w:rsidRPr="00B90724">
        <w:rPr>
          <w:rFonts w:cs="Times New Roman"/>
          <w:kern w:val="0"/>
        </w:rPr>
        <w:t>[96–98]</w:t>
      </w:r>
      <w:r w:rsidR="007F7A7B" w:rsidRPr="00B90724">
        <w:rPr>
          <w:lang w:val="en-US"/>
        </w:rPr>
        <w:fldChar w:fldCharType="end"/>
      </w:r>
      <w:r w:rsidR="00124758" w:rsidRPr="00B90724">
        <w:rPr>
          <w:lang w:val="en-US"/>
        </w:rPr>
        <w:t>, thus</w:t>
      </w:r>
      <w:r w:rsidR="00F44499" w:rsidRPr="00B90724">
        <w:rPr>
          <w:lang w:val="en-US"/>
        </w:rPr>
        <w:t xml:space="preserve"> reducing the</w:t>
      </w:r>
      <w:r w:rsidR="00124758" w:rsidRPr="00B90724">
        <w:rPr>
          <w:lang w:val="en-US"/>
        </w:rPr>
        <w:t>ir</w:t>
      </w:r>
      <w:r w:rsidR="00F44499" w:rsidRPr="00B90724">
        <w:rPr>
          <w:lang w:val="en-US"/>
        </w:rPr>
        <w:t xml:space="preserve"> incidence can improve patient recovery outcomes and </w:t>
      </w:r>
      <w:r w:rsidR="00124758" w:rsidRPr="00B90724">
        <w:rPr>
          <w:lang w:val="en-US"/>
        </w:rPr>
        <w:t xml:space="preserve">decrease </w:t>
      </w:r>
      <w:r w:rsidR="00F44499" w:rsidRPr="00B90724">
        <w:rPr>
          <w:lang w:val="en-US"/>
        </w:rPr>
        <w:t>healthcare</w:t>
      </w:r>
      <w:r w:rsidR="00124758" w:rsidRPr="00B90724">
        <w:rPr>
          <w:lang w:val="en-US"/>
        </w:rPr>
        <w:t xml:space="preserve"> related</w:t>
      </w:r>
      <w:r w:rsidR="00F44499" w:rsidRPr="00B90724">
        <w:rPr>
          <w:lang w:val="en-US"/>
        </w:rPr>
        <w:t xml:space="preserve"> costs</w:t>
      </w:r>
      <w:r w:rsidR="00BD573F" w:rsidRPr="00B90724">
        <w:rPr>
          <w:lang w:val="en-US"/>
        </w:rPr>
        <w:t xml:space="preserve"> </w:t>
      </w:r>
      <w:r w:rsidR="00AC5244" w:rsidRPr="00B90724">
        <w:rPr>
          <w:lang w:val="en-US"/>
        </w:rPr>
        <w:fldChar w:fldCharType="begin"/>
      </w:r>
      <w:r w:rsidR="00A20273" w:rsidRPr="00B90724">
        <w:rPr>
          <w:lang w:val="en-US"/>
        </w:rPr>
        <w:instrText xml:space="preserve"> ADDIN ZOTERO_ITEM CSL_CITATION {"citationID":"5rB6f61l","properties":{"formattedCitation":"[97,99]","plainCitation":"[97,99]","noteIndex":0},"citationItems":[{"id":185,"uris":["http://zotero.org/users/local/L5HAWlIW/items/L7EPHCU8"],"itemData":{"id":185,"type":"article-journal","abstract":"Abstract Background Postoperative pulmonary complications (PPCs) after major abdominal surgery are common and associated with significant morbidity and high cost of care. The objective of this study was to identify the risk factors for PPCs after major abdominal surgery. Materials and methods The American College of Surgeons' National Surgical Quality Improvement Program database from 2005–2012 was queried for patients who underwent major abdominal surgery (esophagectomy, gastrectomy, pacnreatectomy, enterectomy, hepatectomy, colectomy, and proctectomy). Predictors of PPCs were identified using multivariate logistic regression. Results Of 165,196 patients who underwent major abdominal surgery 9595 (5.8%) suffered PPCs (pneumonia 3.2%, prolonged ventilator support ≥48 h 3.0%, and unplanned intubation 2.8%). On multivariate analysis, significant predictors of overall and individual PPCs include esophagectomy, advanced American Society of Anesthesiology Classification System, dependent functional status, prolonged operative time, age ≥80 y, severe chronic obstructive pulmonary disease, preoperative shock, ascites, and smoking. Obesity was not a risk factor. Female gender was overall protective for PPCs. Conclusions PPCs after abdominal procedures are associated with a number of clinical variables. Esophageal operations and American Society of Anesthesiology Classification System were the strongest predictors. These results provide a framework for identifying patients at risk for developing pulmonary complications after major abdominal surgery.","container-title":"The Journal of surgical research","DOI":"10.1016/j.jss.2015.03.028","issue":"2","note":"publisher: Academic Press Inc.","page":"441-449","title":"Pulmonary complications after major abdominal surgery: National Surgical Quality Improvement Program analysis","volume":"198","author":[{"family":"Yang","given":"Chun Kevin; Teng","suffix":"Annabelle; Lee, David Y.; Rose, Keith"}],"issued":{"date-parts":[["2015"]]}}},{"id":180,"uris":["http://zotero.org/users/local/L5HAWlIW/items/WC26ECFW"],"itemData":{"id":180,"type":"article-journal","abstract":"Objective:Postoperative pulmonary complications are a major contributor to the overall risk of surgery. We convened a patient safety summit to discuss ways to enhance physician awareness of postoperative pulmonary complications, advance postoperative pulmonary complications as a substantive public h","container-title":"Critical care medicine","DOI":"10.1097/ccm.0b013e31821f0522","issue":"9","note":"publisher: Lippincott Williams and Wilkins","page":"2163-2172","title":"Clinical and economic burden of postoperative pulmonary complications: patient safety summit on definition, risk-reducing interventions, and preventive strategies.","volume":"39","author":[{"family":"Shander","given":"Aryeh; Fleisher","suffix":"Lee A.; Barie, Philip S.; Bigatello, Luca M.; Sladen, Robert N.; Watson, Charles B."}],"issued":{"date-parts":[["2011"]]}}}],"schema":"https://github.com/citation-style-language/schema/raw/master/csl-citation.json"} </w:instrText>
      </w:r>
      <w:r w:rsidR="00AC5244" w:rsidRPr="00B90724">
        <w:rPr>
          <w:lang w:val="en-US"/>
        </w:rPr>
        <w:fldChar w:fldCharType="separate"/>
      </w:r>
      <w:r w:rsidR="00A20273" w:rsidRPr="00B90724">
        <w:rPr>
          <w:rFonts w:cs="Times New Roman"/>
        </w:rPr>
        <w:t>[97,99]</w:t>
      </w:r>
      <w:r w:rsidR="00AC5244" w:rsidRPr="00B90724">
        <w:rPr>
          <w:lang w:val="en-US"/>
        </w:rPr>
        <w:fldChar w:fldCharType="end"/>
      </w:r>
      <w:r w:rsidR="00BD573F" w:rsidRPr="00B90724">
        <w:rPr>
          <w:lang w:val="en-US"/>
        </w:rPr>
        <w:t>.</w:t>
      </w:r>
    </w:p>
    <w:p w14:paraId="3210D5D1" w14:textId="20403A60" w:rsidR="004C41B6" w:rsidRPr="00B90724" w:rsidRDefault="00F676C6" w:rsidP="0036711F">
      <w:pPr>
        <w:rPr>
          <w:lang w:val="en-US"/>
        </w:rPr>
      </w:pPr>
      <w:r w:rsidRPr="00B90724">
        <w:rPr>
          <w:lang w:val="en-US"/>
        </w:rPr>
        <w:t>One of the earliest meta-analyses comparing individualized PEEP titration to conventional settings reported a risk ratio (RR) of 0.52 for developing PPCs when titrated PEEP was used</w:t>
      </w:r>
      <w:r w:rsidR="00BD573F" w:rsidRPr="00B90724">
        <w:rPr>
          <w:lang w:val="en-US"/>
        </w:rPr>
        <w:t xml:space="preserve"> </w:t>
      </w:r>
      <w:r w:rsidR="00007048" w:rsidRPr="00B90724">
        <w:rPr>
          <w:lang w:val="en-US"/>
        </w:rPr>
        <w:fldChar w:fldCharType="begin"/>
      </w:r>
      <w:r w:rsidR="00A20273" w:rsidRPr="00B90724">
        <w:rPr>
          <w:lang w:val="en-US"/>
        </w:rPr>
        <w:instrText xml:space="preserve"> ADDIN ZOTERO_ITEM CSL_CITATION {"citationID":"RigCv2RJ","properties":{"formattedCitation":"[94]","plainCitation":"[94]","noteIndex":0},"citationItems":[{"id":42,"uris":["http://zotero.org/users/local/L5HAWlIW/items/I8AEPRU4"],"itemData":{"id":42,"type":"article-journal","container-title":"Medicine","DOI":"10.1097/MD.0000000000026638","ISSN":"0025-7974, 1536-5964","issue":"28","language":"en","note":"number: 28","page":"e26638","source":"DOI.org (Crossref)","title":"Individualized positive end-expiratory pressure (PEEP) during one-lung ventilation for prevention of postoperative pulmonary complications in patients undergoing thoracic surgery: A meta-analysis","title-short":"Individualized positive end-expiratory pressure (PEEP) during one-lung ventilation for prevention of postoperative pulmonary complications in patients undergoing thoracic surgery","volume":"100","author":[{"family":"Li","given":"Pule"},{"family":"Kang","given":"Xia"},{"family":"Miao","given":"Mengrong"},{"family":"Zhang","given":"Jiaqiang"}],"issued":{"date-parts":[["2021",7,16]]}}}],"schema":"https://github.com/citation-style-language/schema/raw/master/csl-citation.json"} </w:instrText>
      </w:r>
      <w:r w:rsidR="00007048" w:rsidRPr="00B90724">
        <w:rPr>
          <w:lang w:val="en-US"/>
        </w:rPr>
        <w:fldChar w:fldCharType="separate"/>
      </w:r>
      <w:r w:rsidR="00A20273" w:rsidRPr="00B90724">
        <w:rPr>
          <w:rFonts w:cs="Times New Roman"/>
        </w:rPr>
        <w:t>[94]</w:t>
      </w:r>
      <w:r w:rsidR="00007048" w:rsidRPr="00B90724">
        <w:rPr>
          <w:lang w:val="en-US"/>
        </w:rPr>
        <w:fldChar w:fldCharType="end"/>
      </w:r>
      <w:r w:rsidR="00BD573F" w:rsidRPr="00B90724">
        <w:rPr>
          <w:lang w:val="en-US"/>
        </w:rPr>
        <w:t>.</w:t>
      </w:r>
      <w:r w:rsidRPr="00B90724">
        <w:rPr>
          <w:lang w:val="en-US"/>
        </w:rPr>
        <w:t xml:space="preserve"> However, this analysis focused on patients receiving one-lung ventilation during thoracic surgery. Our findings align with a more recent meta-analysis, which found a RR of 0.69 in a broader population that also included patients undergoing </w:t>
      </w:r>
      <w:r w:rsidRPr="00B90724">
        <w:rPr>
          <w:lang w:val="en-US"/>
        </w:rPr>
        <w:lastRenderedPageBreak/>
        <w:t>abdominal surgery, further supporting the consistency of our results with existing evidenc</w:t>
      </w:r>
      <w:r w:rsidR="00BD573F" w:rsidRPr="00B90724">
        <w:rPr>
          <w:lang w:val="en-US"/>
        </w:rPr>
        <w:t xml:space="preserve">e </w:t>
      </w:r>
      <w:r w:rsidR="00007048" w:rsidRPr="00B90724">
        <w:rPr>
          <w:lang w:val="en-US"/>
        </w:rPr>
        <w:fldChar w:fldCharType="begin"/>
      </w:r>
      <w:r w:rsidR="00124CFA" w:rsidRPr="00B90724">
        <w:rPr>
          <w:lang w:val="en-US"/>
        </w:rPr>
        <w:instrText xml:space="preserve"> ADDIN ZOTERO_ITEM CSL_CITATION {"citationID":"kfS6jUhH","properties":{"formattedCitation":"[16]","plainCitation":"[16]","noteIndex":0},"citationItems":[{"id":189,"uris":["http://zotero.org/users/local/L5HAWlIW/items/N78M9P4Y"],"itemData":{"id":189,"type":"article-journal","abstract":"&lt;AbstractText Label=\"BACKGROUND\"&gt;Individualised positive end-expiratory pressure (PEEP) may optimise pulmonary compliance, thereby potentially mitigating lung injury. This meta-analysis aimed to determine the impact of individualised PEEP vs fixed PEEP during abdominal surgery on postoperative pulmonary outcomes.&lt;/AbstractText&gt; &lt;AbstractText Label=\"METHODS\"&gt;Medical databases (PubMed, Embase, Web of Science, ScienceDirect, Google Scholar, and the China National Knowledge Infrastructure) were searched for RCTs comparing fixed vs individualised PEEP. The composite primary outcome of pulmonary complications comprised hypoxaemia, atelectasis, pneumonia, and acute respiratory distress syndrome. Secondary outcomes included oxygenation (P&lt;sub&gt;a&lt;/sub&gt;O&lt;sub&gt;2&lt;/sub&gt;/FiO&lt;sub&gt;2&lt;/sub&gt;) and systemic inflammatory markers (interleukin-6 [IL-6] and club cell protein-16 [CC16]). We calculated risk ratios (RRs) and mean differences (MDs) with 95% confidence interval (CI) using DerSimonian and Laird random effects models. Cochrane risk-of-bias tool was applied.&lt;/AbstractText&gt; &lt;AbstractText Label=\"RESULTS\"&gt;Ten RCTs (n=1117 patients) met the criteria for inclusion, with six reporting the primary endpoint. Individualised PEEP reduced the incidence of overall pulmonary complications (141/412 [34.2%]) compared with 183/415 (44.1%) receiving fixed PEEP (RR 0.69 [95% CI: 0.51-0.93]; P=0.016; I&lt;sup&gt;2&lt;/sup&gt;=43%). Risk-of-bias analysis did not alter these findings. Individualised PEEP reduced postoperative hypoxaemia (74/392 [18.9%]) compared with 110/395 (27.8%) participants receiving fixed PEEP (RR 0.68 [0.52-0.88]; P=0.003; I&lt;sup&gt;2&lt;/sup&gt;=0%) but not postoperative atelectasis (RR 0.93 [0.81-1.07]; P=0.297; I&lt;sup&gt;2&lt;/sup&gt;=0%). Individualised PEEP resulted in higher P&lt;sub&gt;a&lt;/sub&gt;O&lt;sub&gt;2&lt;/sub&gt;/FiO&lt;sub&gt;2&lt;/sub&gt; (MD 20.8 mm Hg [4.6-36.9]; P=0.012; I&lt;sup&gt;2&lt;/sup&gt;=80%) and reduced systemic inflammation (lower plasma IL-6 [MD -6.8 pg ml&lt;sup&gt;-1&lt;/sup&gt;; -11.9 to -1.7]; P=0.009; I&lt;sup&gt;2&lt;/sup&gt;=6%; and CC16 levels [MD -6.2 ng ml&lt;sup&gt;-1&lt;/sup&gt;; -8.8 to -3.5]; P&amp;lt;0.001; I&lt;sup&gt;2&lt;/sup&gt;=0%) at the end of surgery.&lt;/AbstractText&gt; &lt;AbstractText Label=\"CONCLUSIONS\"&gt;Individualised PEEP may reduce pulmonary complications, improve oxygenation, and reduce systemic inflammation after abdominal surgery.&lt;/AbstractText&gt; &lt;AbstractText Label=\"CLINICAL TRIAL REGISTRATION\"&gt;CRD42021277973.&lt;/AbstractText&gt; &lt;CopyrightInformation&gt;Copyright © 2022 British Journal of Anaesthesia. Published by Elsevier Ltd. All rights reserved.&lt;/CopyrightInformation&gt;","container-title":"British journal of anaesthesia","DOI":"10.1016/j.bja.2022.07.009","issue":"5","note":"publisher: Oxford University Press","page":"815-825","title":"Individualised positive end-expiratory pressure in abdominal surgery: a systematic review and meta-analysis.","volume":"129","author":[{"family":"Zorrilla-Vaca","given":"Andres; Grant","suffix":"Michael C; Urman, Richard D; Frendl, Gyorgy"}],"issued":{"date-parts":[["2022"]]}}}],"schema":"https://github.com/citation-style-language/schema/raw/master/csl-citation.json"} </w:instrText>
      </w:r>
      <w:r w:rsidR="00007048" w:rsidRPr="00B90724">
        <w:rPr>
          <w:lang w:val="en-US"/>
        </w:rPr>
        <w:fldChar w:fldCharType="separate"/>
      </w:r>
      <w:r w:rsidR="00124CFA" w:rsidRPr="00B90724">
        <w:rPr>
          <w:rFonts w:cs="Times New Roman"/>
        </w:rPr>
        <w:t>[16]</w:t>
      </w:r>
      <w:r w:rsidR="00007048" w:rsidRPr="00B90724">
        <w:rPr>
          <w:lang w:val="en-US"/>
        </w:rPr>
        <w:fldChar w:fldCharType="end"/>
      </w:r>
      <w:r w:rsidR="00BD573F" w:rsidRPr="00B90724">
        <w:rPr>
          <w:lang w:val="en-US"/>
        </w:rPr>
        <w:t>.</w:t>
      </w:r>
      <w:r w:rsidR="004C41B6" w:rsidRPr="00B90724">
        <w:rPr>
          <w:lang w:val="en-US"/>
        </w:rPr>
        <w:t xml:space="preserve"> </w:t>
      </w:r>
    </w:p>
    <w:p w14:paraId="423C1897" w14:textId="268F53DA" w:rsidR="00007048" w:rsidRPr="00B90724" w:rsidRDefault="00F17E17" w:rsidP="0036711F">
      <w:pPr>
        <w:rPr>
          <w:lang w:val="en-US"/>
        </w:rPr>
      </w:pPr>
      <w:r w:rsidRPr="00B90724">
        <w:rPr>
          <w:lang w:val="en-US"/>
        </w:rPr>
        <w:t>Except for two studies</w:t>
      </w:r>
      <w:r w:rsidR="009A1C59" w:rsidRPr="00B90724">
        <w:rPr>
          <w:lang w:val="en-US"/>
        </w:rPr>
        <w:t xml:space="preserve">, </w:t>
      </w:r>
      <w:r w:rsidRPr="00B90724">
        <w:rPr>
          <w:lang w:val="en-US"/>
        </w:rPr>
        <w:t xml:space="preserve">a higher mean </w:t>
      </w:r>
      <w:proofErr w:type="spellStart"/>
      <w:r w:rsidRPr="00B90724">
        <w:rPr>
          <w:lang w:val="en-US"/>
        </w:rPr>
        <w:t>PaO</w:t>
      </w:r>
      <w:proofErr w:type="spellEnd"/>
      <w:r w:rsidRPr="00B90724">
        <w:rPr>
          <w:lang w:val="en-US"/>
        </w:rPr>
        <w:t>₂/</w:t>
      </w:r>
      <w:proofErr w:type="spellStart"/>
      <w:r w:rsidRPr="00B90724">
        <w:rPr>
          <w:lang w:val="en-US"/>
        </w:rPr>
        <w:t>FiO</w:t>
      </w:r>
      <w:proofErr w:type="spellEnd"/>
      <w:r w:rsidRPr="00B90724">
        <w:rPr>
          <w:lang w:val="en-US"/>
        </w:rPr>
        <w:t>₂ ratio</w:t>
      </w:r>
      <w:r w:rsidR="009A1C59" w:rsidRPr="00B90724">
        <w:rPr>
          <w:lang w:val="en-US"/>
        </w:rPr>
        <w:t xml:space="preserve"> was measured at </w:t>
      </w:r>
      <w:r w:rsidRPr="00B90724">
        <w:rPr>
          <w:lang w:val="en-US"/>
        </w:rPr>
        <w:t>the end of surgery</w:t>
      </w:r>
      <w:r w:rsidR="00124758" w:rsidRPr="00B90724">
        <w:rPr>
          <w:lang w:val="en-US"/>
        </w:rPr>
        <w:t xml:space="preserve"> in the individually set group</w:t>
      </w:r>
      <w:r w:rsidR="00BD573F" w:rsidRPr="00B90724">
        <w:rPr>
          <w:lang w:val="en-US"/>
        </w:rPr>
        <w:t xml:space="preserve"> </w:t>
      </w:r>
      <w:r w:rsidR="001F6675" w:rsidRPr="00B90724">
        <w:rPr>
          <w:lang w:val="en-US"/>
        </w:rPr>
        <w:fldChar w:fldCharType="begin"/>
      </w:r>
      <w:r w:rsidR="000E3931" w:rsidRPr="00B90724">
        <w:rPr>
          <w:lang w:val="en-US"/>
        </w:rPr>
        <w:instrText xml:space="preserve"> ADDIN ZOTERO_ITEM CSL_CITATION {"citationID":"6qhu1lZM","properties":{"formattedCitation":"[61,66]","plainCitation":"[61,66]","noteIndex":0},"citationItems":[{"id":28,"uris":["http://zotero.org/users/local/L5HAWlIW/items/BBD2PA7M"],"itemData":{"id":28,"type":"article-journal","container-title":"Obesity Surgery","DOI":"10.1007/s11695-018-03662-x","ISSN":"0960-8923, 1708-0428","issue":"4","journalAbbreviation":"OBES SURG","language":"en","note":"number: 4","page":"1268-1275","source":"DOI.org (Crossref)","title":"Does Lung Compliance Optimization Through PEEP Manipulations Reduce the Incidence of Postoperative Hypoxemia in Laparoscopic Bariatric Surgery? A Randomized Trial","title-short":"Does Lung Compliance Optimization Through PEEP Manipulations Reduce the Incidence of Postoperative Hypoxemia in Laparoscopic Bariatric Surgery?","volume":"29","author":[{"family":"Van Hecke","given":"Delphine"},{"family":"Bidgoli","given":"Javad S."},{"family":"Van der Linden","given":"Philippe"}],"issued":{"date-parts":[["2019",4]]}}},{"id":1554,"uris":["http://zotero.org/users/local/L5HAWlIW/items/RGSHQSMS"],"itemData":{"id":1554,"type":"article-journal","abstract":"Abstract\n            \n              Background\n              This trial aimed to evaluate the effects of a protective ventilation strategy on oxygenation/pulmonary indexes in patients undergoing robot-assisted radical prostatectomy (RARP) in the steep Trendelenburg position.\n            \n            \n              Methods\n              \n                In phase 1, the most optimal positive end-expiratory pressure (PEEP) was determined in 25 patients at 11 cmH\n                2\n                O. In phase 2, 64 patients were randomized to the traditional ventilation group with tidal volume (VT) of 9 ml/kg of predicted body weight (PBW) and the protective ventilation group with VT of 7 ml/kg of PBW with optimal PEEP and recruitment maneuvers (RMs). The primary endpoint was the intraoperative and postoperative PaO\n                2\n                /FiO\n                2\n                . The secondary endpoints were the PaCO\n                2\n                , SpO\n                2\n                , modified clinical pulmonary infection score (mCPIS), and the rate of complications in the postoperative period.\n              \n            \n            \n              Results\n              \n                Compared with controls, PaO\n                2\n                /FiO\n                2\n                in the protective group increased after the second RM (\n                P\n                =0.018), and the difference remained until postoperative day 3 (\n                P\n                =0.043). PaCO\n                2\n                showed transient accumulation in the protective group after the first RM (T2), but this phenomenon disappeared with time. SpO\n                2\n                in the protective group was significantly higher during the first three postoperative days. Lung compliance was significantly improved after the second RM in the protective group (\n                P\n                =0.025). The mCPIS was lower in the protective group on postoperative day 3 (0.59 (1.09) vs. 1.46 (1.27),\n                P\n                =0.010).\n              \n            \n            \n              Conclusion\n              A protective ventilation strategy with lower VT combined with optimal PEEP and RMs could improve oxygenation and reduce mCPIS in patients undergoing RARP.\n            \n            \n              Trial registration\n              \n                ChiCTR\n                ChiCTR1800015626\n                . Registered on 12 April 2018.","container-title":"Trials","DOI":"10.1186/s13063-021-05310-9","ISSN":"1745-6215","issue":"1","journalAbbreviation":"Trials","language":"en","page":"351","source":"DOI.org (Crossref)","title":"Protective mechanical ventilation with optimal PEEP during RARP improves oxygenation and pulmonary indexes","volume":"22","author":[{"family":"Zhou","given":"Jianwei"},{"family":"Wang","given":"Chuanguang"},{"family":"Lv","given":"Ran"},{"family":"Liu","given":"Na"},{"family":"Huang","given":"Yan"},{"family":"Wang","given":"Wu"},{"family":"Yu","given":"Lina"},{"family":"Xie","given":"Junran"}],"issued":{"date-parts":[["2021",12]]}}}],"schema":"https://github.com/citation-style-language/schema/raw/master/csl-citation.json"} </w:instrText>
      </w:r>
      <w:r w:rsidR="001F6675" w:rsidRPr="00B90724">
        <w:rPr>
          <w:lang w:val="en-US"/>
        </w:rPr>
        <w:fldChar w:fldCharType="separate"/>
      </w:r>
      <w:r w:rsidR="000E3931" w:rsidRPr="00B90724">
        <w:rPr>
          <w:rFonts w:cs="Times New Roman"/>
        </w:rPr>
        <w:t>[61,66]</w:t>
      </w:r>
      <w:r w:rsidR="001F6675" w:rsidRPr="00B90724">
        <w:rPr>
          <w:lang w:val="en-US"/>
        </w:rPr>
        <w:fldChar w:fldCharType="end"/>
      </w:r>
      <w:r w:rsidR="00BD573F" w:rsidRPr="00B90724">
        <w:rPr>
          <w:lang w:val="en-US"/>
        </w:rPr>
        <w:t>.</w:t>
      </w:r>
      <w:r w:rsidRPr="00B90724">
        <w:rPr>
          <w:lang w:val="en-US"/>
        </w:rPr>
        <w:t xml:space="preserve"> Our findings reveal not only a significantly greater overall MD in </w:t>
      </w:r>
      <w:proofErr w:type="spellStart"/>
      <w:r w:rsidRPr="00B90724">
        <w:rPr>
          <w:lang w:val="en-US"/>
        </w:rPr>
        <w:t>PaO</w:t>
      </w:r>
      <w:proofErr w:type="spellEnd"/>
      <w:r w:rsidRPr="00B90724">
        <w:rPr>
          <w:lang w:val="en-US"/>
        </w:rPr>
        <w:t>₂/</w:t>
      </w:r>
      <w:proofErr w:type="spellStart"/>
      <w:r w:rsidRPr="00B90724">
        <w:rPr>
          <w:lang w:val="en-US"/>
        </w:rPr>
        <w:t>FiO</w:t>
      </w:r>
      <w:proofErr w:type="spellEnd"/>
      <w:r w:rsidRPr="00B90724">
        <w:rPr>
          <w:lang w:val="en-US"/>
        </w:rPr>
        <w:t xml:space="preserve">₂ ratios favoring </w:t>
      </w:r>
      <w:r w:rsidR="009A1C59" w:rsidRPr="00B90724">
        <w:rPr>
          <w:lang w:val="en-US"/>
        </w:rPr>
        <w:t xml:space="preserve">individualized PEEP </w:t>
      </w:r>
      <w:r w:rsidRPr="00B90724">
        <w:rPr>
          <w:lang w:val="en-US"/>
        </w:rPr>
        <w:t xml:space="preserve">over </w:t>
      </w:r>
      <w:r w:rsidR="009A1C59" w:rsidRPr="00B90724">
        <w:rPr>
          <w:lang w:val="en-US"/>
        </w:rPr>
        <w:t>fixed settings</w:t>
      </w:r>
      <w:r w:rsidRPr="00B90724">
        <w:rPr>
          <w:lang w:val="en-US"/>
        </w:rPr>
        <w:t>, but also a larger effect than those reported in earlier meta-analyses involving thoracic (MD = 37.72 mmHg) and abdominal surgeries (MD = 20.8 mmHg)</w:t>
      </w:r>
      <w:r w:rsidR="00BD573F" w:rsidRPr="00B90724">
        <w:rPr>
          <w:lang w:val="en-US"/>
        </w:rPr>
        <w:t xml:space="preserve"> </w:t>
      </w:r>
      <w:r w:rsidR="00E23A67" w:rsidRPr="00B90724">
        <w:rPr>
          <w:lang w:val="en-US"/>
        </w:rPr>
        <w:fldChar w:fldCharType="begin"/>
      </w:r>
      <w:r w:rsidR="00A20273" w:rsidRPr="00B90724">
        <w:rPr>
          <w:lang w:val="en-US"/>
        </w:rPr>
        <w:instrText xml:space="preserve"> ADDIN ZOTERO_ITEM CSL_CITATION {"citationID":"wl3Kbn66","properties":{"formattedCitation":"[16,94]","plainCitation":"[16,94]","noteIndex":0},"citationItems":[{"id":189,"uris":["http://zotero.org/users/local/L5HAWlIW/items/N78M9P4Y"],"itemData":{"id":189,"type":"article-journal","abstract":"&lt;AbstractText Label=\"BACKGROUND\"&gt;Individualised positive end-expiratory pressure (PEEP) may optimise pulmonary compliance, thereby potentially mitigating lung injury. This meta-analysis aimed to determine the impact of individualised PEEP vs fixed PEEP during abdominal surgery on postoperative pulmonary outcomes.&lt;/AbstractText&gt; &lt;AbstractText Label=\"METHODS\"&gt;Medical databases (PubMed, Embase, Web of Science, ScienceDirect, Google Scholar, and the China National Knowledge Infrastructure) were searched for RCTs comparing fixed vs individualised PEEP. The composite primary outcome of pulmonary complications comprised hypoxaemia, atelectasis, pneumonia, and acute respiratory distress syndrome. Secondary outcomes included oxygenation (P&lt;sub&gt;a&lt;/sub&gt;O&lt;sub&gt;2&lt;/sub&gt;/FiO&lt;sub&gt;2&lt;/sub&gt;) and systemic inflammatory markers (interleukin-6 [IL-6] and club cell protein-16 [CC16]). We calculated risk ratios (RRs) and mean differences (MDs) with 95% confidence interval (CI) using DerSimonian and Laird random effects models. Cochrane risk-of-bias tool was applied.&lt;/AbstractText&gt; &lt;AbstractText Label=\"RESULTS\"&gt;Ten RCTs (n=1117 patients) met the criteria for inclusion, with six reporting the primary endpoint. Individualised PEEP reduced the incidence of overall pulmonary complications (141/412 [34.2%]) compared with 183/415 (44.1%) receiving fixed PEEP (RR 0.69 [95% CI: 0.51-0.93]; P=0.016; I&lt;sup&gt;2&lt;/sup&gt;=43%). Risk-of-bias analysis did not alter these findings. Individualised PEEP reduced postoperative hypoxaemia (74/392 [18.9%]) compared with 110/395 (27.8%) participants receiving fixed PEEP (RR 0.68 [0.52-0.88]; P=0.003; I&lt;sup&gt;2&lt;/sup&gt;=0%) but not postoperative atelectasis (RR 0.93 [0.81-1.07]; P=0.297; I&lt;sup&gt;2&lt;/sup&gt;=0%). Individualised PEEP resulted in higher P&lt;sub&gt;a&lt;/sub&gt;O&lt;sub&gt;2&lt;/sub&gt;/FiO&lt;sub&gt;2&lt;/sub&gt; (MD 20.8 mm Hg [4.6-36.9]; P=0.012; I&lt;sup&gt;2&lt;/sup&gt;=80%) and reduced systemic inflammation (lower plasma IL-6 [MD -6.8 pg ml&lt;sup&gt;-1&lt;/sup&gt;; -11.9 to -1.7]; P=0.009; I&lt;sup&gt;2&lt;/sup&gt;=6%; and CC16 levels [MD -6.2 ng ml&lt;sup&gt;-1&lt;/sup&gt;; -8.8 to -3.5]; P&amp;lt;0.001; I&lt;sup&gt;2&lt;/sup&gt;=0%) at the end of surgery.&lt;/AbstractText&gt; &lt;AbstractText Label=\"CONCLUSIONS\"&gt;Individualised PEEP may reduce pulmonary complications, improve oxygenation, and reduce systemic inflammation after abdominal surgery.&lt;/AbstractText&gt; &lt;AbstractText Label=\"CLINICAL TRIAL REGISTRATION\"&gt;CRD42021277973.&lt;/AbstractText&gt; &lt;CopyrightInformation&gt;Copyright © 2022 British Journal of Anaesthesia. Published by Elsevier Ltd. All rights reserved.&lt;/CopyrightInformation&gt;","container-title":"British journal of anaesthesia","DOI":"10.1016/j.bja.2022.07.009","issue":"5","note":"publisher: Oxford University Press","page":"815-825","title":"Individualised positive end-expiratory pressure in abdominal surgery: a systematic review and meta-analysis.","volume":"129","author":[{"family":"Zorrilla-Vaca","given":"Andres; Grant","suffix":"Michael C; Urman, Richard D; Frendl, Gyorgy"}],"issued":{"date-parts":[["2022"]]}}},{"id":42,"uris":["http://zotero.org/users/local/L5HAWlIW/items/I8AEPRU4"],"itemData":{"id":42,"type":"article-journal","container-title":"Medicine","DOI":"10.1097/MD.0000000000026638","ISSN":"0025-7974, 1536-5964","issue":"28","language":"en","note":"number: 28","page":"e26638","source":"DOI.org (Crossref)","title":"Individualized positive end-expiratory pressure (PEEP) during one-lung ventilation for prevention of postoperative pulmonary complications in patients undergoing thoracic surgery: A meta-analysis","title-short":"Individualized positive end-expiratory pressure (PEEP) during one-lung ventilation for prevention of postoperative pulmonary complications in patients undergoing thoracic surgery","volume":"100","author":[{"family":"Li","given":"Pule"},{"family":"Kang","given":"Xia"},{"family":"Miao","given":"Mengrong"},{"family":"Zhang","given":"Jiaqiang"}],"issued":{"date-parts":[["2021",7,16]]}}}],"schema":"https://github.com/citation-style-language/schema/raw/master/csl-citation.json"} </w:instrText>
      </w:r>
      <w:r w:rsidR="00E23A67" w:rsidRPr="00B90724">
        <w:rPr>
          <w:lang w:val="en-US"/>
        </w:rPr>
        <w:fldChar w:fldCharType="separate"/>
      </w:r>
      <w:r w:rsidR="00A20273" w:rsidRPr="00B90724">
        <w:rPr>
          <w:rFonts w:cs="Times New Roman"/>
        </w:rPr>
        <w:t>[16,94]</w:t>
      </w:r>
      <w:r w:rsidR="00E23A67" w:rsidRPr="00B90724">
        <w:rPr>
          <w:lang w:val="en-US"/>
        </w:rPr>
        <w:fldChar w:fldCharType="end"/>
      </w:r>
      <w:r w:rsidR="00BD573F" w:rsidRPr="00B90724">
        <w:rPr>
          <w:lang w:val="en-US"/>
        </w:rPr>
        <w:t>.</w:t>
      </w:r>
      <w:r w:rsidRPr="00B90724">
        <w:rPr>
          <w:lang w:val="en-US"/>
        </w:rPr>
        <w:t xml:space="preserve"> Additionally, a recent meta-analysis comparing EIT-guided PEEP titration to fixed PEEP showed substantially improved intraoperative oxygenation, with individualized PEEP resulting in an oxygenation index over 90 mmHg higher</w:t>
      </w:r>
      <w:r w:rsidR="00BD573F" w:rsidRPr="00B90724">
        <w:rPr>
          <w:lang w:val="en-US"/>
        </w:rPr>
        <w:t xml:space="preserve"> </w:t>
      </w:r>
      <w:r w:rsidR="00860960" w:rsidRPr="00B90724">
        <w:rPr>
          <w:lang w:val="en-US"/>
        </w:rPr>
        <w:fldChar w:fldCharType="begin"/>
      </w:r>
      <w:r w:rsidR="00A20273" w:rsidRPr="00B90724">
        <w:rPr>
          <w:lang w:val="en-US"/>
        </w:rPr>
        <w:instrText xml:space="preserve"> ADDIN ZOTERO_ITEM CSL_CITATION {"citationID":"qhMC6fVC","properties":{"formattedCitation":"[100]","plainCitation":"[100]","noteIndex":0},"citationItems":[{"id":5101,"uris":["http://zotero.org/users/local/L5HAWlIW/items/GT87HTDY"],"itemData":{"id":5101,"type":"article-journal","container-title":"Journal of Clinical Anesthesia","DOI":"10.1016/j.jclinane.2024.111397","ISSN":"09528180","journalAbbreviation":"Journal of Clinical Anesthesia","language":"en","page":"111397","source":"DOI.org (Crossref)","title":"Individualized PEEP guided by EIT in patients undergoing general anesthesia: A systematic review and meta-analysis","title-short":"Individualized PEEP guided by EIT in patients undergoing general anesthesia","volume":"94","author":[{"family":"Jiang","given":"Lingyan"},{"family":"Deng","given":"Yanjun"},{"family":"Xu","given":"Fuqi"},{"family":"Qiao","given":"Shigang"},{"family":"Wang","given":"Chen"}],"issued":{"date-parts":[["2024",6]]}}}],"schema":"https://github.com/citation-style-language/schema/raw/master/csl-citation.json"} </w:instrText>
      </w:r>
      <w:r w:rsidR="00860960" w:rsidRPr="00B90724">
        <w:rPr>
          <w:lang w:val="en-US"/>
        </w:rPr>
        <w:fldChar w:fldCharType="separate"/>
      </w:r>
      <w:r w:rsidR="00A20273" w:rsidRPr="00B90724">
        <w:rPr>
          <w:rFonts w:cs="Times New Roman"/>
        </w:rPr>
        <w:t>[100]</w:t>
      </w:r>
      <w:r w:rsidR="00860960" w:rsidRPr="00B90724">
        <w:rPr>
          <w:lang w:val="en-US"/>
        </w:rPr>
        <w:fldChar w:fldCharType="end"/>
      </w:r>
      <w:r w:rsidR="00BD573F" w:rsidRPr="00B90724">
        <w:rPr>
          <w:lang w:val="en-US"/>
        </w:rPr>
        <w:t>.</w:t>
      </w:r>
    </w:p>
    <w:p w14:paraId="71CA30BA" w14:textId="44DF5E42" w:rsidR="009F6DD3" w:rsidRPr="00B90724" w:rsidRDefault="009F6DD3" w:rsidP="000D47A5">
      <w:pPr>
        <w:pStyle w:val="Heading3"/>
        <w:rPr>
          <w:szCs w:val="24"/>
          <w:lang w:val="en-US"/>
        </w:rPr>
      </w:pPr>
      <w:bookmarkStart w:id="91" w:name="_Toc211542219"/>
      <w:r w:rsidRPr="00B90724">
        <w:rPr>
          <w:szCs w:val="24"/>
          <w:lang w:val="en-US"/>
        </w:rPr>
        <w:t>9.1.3. Hemodynamics</w:t>
      </w:r>
      <w:bookmarkEnd w:id="91"/>
    </w:p>
    <w:p w14:paraId="25035035" w14:textId="3E8505EC" w:rsidR="00A42141" w:rsidRPr="00B90724" w:rsidRDefault="00A011C8" w:rsidP="0036711F">
      <w:pPr>
        <w:rPr>
          <w:lang w:val="en-US"/>
        </w:rPr>
      </w:pPr>
      <w:r w:rsidRPr="00B90724">
        <w:rPr>
          <w:lang w:val="en-US"/>
        </w:rPr>
        <w:t>Elevated levels of PEEP can increase right ventricular afterload and potentially reduce preload, which may result in decreased cardiac output. Consequently, PEEP should be administered with caution in patients who are hemodynamically unstable, especially in the presence of hypovolemia</w:t>
      </w:r>
      <w:r w:rsidR="00BD573F" w:rsidRPr="00B90724">
        <w:rPr>
          <w:lang w:val="en-US"/>
        </w:rPr>
        <w:t xml:space="preserve"> </w:t>
      </w:r>
      <w:r w:rsidR="001F1E26" w:rsidRPr="00B90724">
        <w:rPr>
          <w:lang w:val="en-US"/>
        </w:rPr>
        <w:fldChar w:fldCharType="begin"/>
      </w:r>
      <w:r w:rsidR="00A20273" w:rsidRPr="00B90724">
        <w:rPr>
          <w:lang w:val="en-US"/>
        </w:rPr>
        <w:instrText xml:space="preserve"> ADDIN ZOTERO_ITEM CSL_CITATION {"citationID":"MmW8Myvz","properties":{"formattedCitation":"[101,102]","plainCitation":"[101,102]","noteIndex":0},"citationItems":[{"id":5095,"uris":["http://zotero.org/users/local/L5HAWlIW/items/45UVAPRL"],"itemData":{"id":5095,"type":"article-journal","abstract":"Abstract\n            Although the administration of fluid is the first treatment considered in almost all cases of circulatory failure, this therapeutic option poses two essential problems: the increase in cardiac output induced by a bolus of fluid is inconstant, and the deleterious effects of fluid overload are now clearly demonstrated. This is why many tests and indices have been developed to detect preload dependence and predict fluid responsiveness. In this review, we take stock of the data published in the field over the past three years. Regarding the passive leg raising test, we detail the different stroke volume surrogates that have recently been described to measure its effects using minimally invasive and easily accessible methods. We review the limits of the test, especially in patients with intra-abdominal hypertension. Regarding the end-expiratory occlusion test, we also present recent investigations that have sought to measure its effects without an invasive measurement of cardiac output. Although the limits of interpretation of the respiratory variation of pulse pressure and of the diameter of the vena cava during mechanical ventilation are now well known, several recent studies have shown how changes in pulse pressure variation itself during other tests reflect simultaneous changes in cardiac output, allowing these tests to be carried out without its direct measurement. This is particularly the case during the tidal volume challenge, a relatively recent test whose reliability is increasingly well established. The mini-fluid challenge has the advantage of being easy to perform, but it requires direct measurement of cardiac output, like the classic fluid challenge. Initially described with echocardiography, recent studies have investigated other means of judging its effects. We highlight the problem of their precision, which is necessary to evidence small changes in cardiac output. Finally, we point out other tests that have appeared more recently, such as the Trendelenburg manoeuvre, a potentially interesting alternative for patients in the prone position.","container-title":"Annals of Intensive Care","DOI":"10.1186/s13613-022-01022-8","ISSN":"2110-5820","issue":"1","journalAbbreviation":"Ann. Intensive Care","language":"en","page":"46","source":"DOI.org (Crossref)","title":"Prediction of fluid responsiveness. What’s new?","volume":"12","author":[{"family":"Monnet","given":"Xavier"},{"family":"Shi","given":"Rui"},{"family":"Teboul","given":"Jean-Louis"}],"issued":{"date-parts":[["2022",12]]}}},{"id":5093,"uris":["http://zotero.org/users/local/L5HAWlIW/items/B9IJENLR"],"itemData":{"id":5093,"type":"article-journal","container-title":"Trends in Anaesthesia and Critical Care","DOI":"10.1016/j.tacc.2023.101316","ISSN":"22108440","journalAbbreviation":"Trends in Anaesthesia and Critical Care","language":"en","page":"101316","source":"DOI.org (Crossref)","title":"Prediction of fluid responsiveness in critical care: Current evidence and future perspective","title-short":"Prediction of fluid responsiveness in critical care","volume":"54","author":[{"family":"La Via","given":"Luigi"},{"family":"Vasile","given":"Francesco"},{"family":"Perna","given":"Francesco"},{"family":"Zawadka","given":"Mateusz"}],"issued":{"date-parts":[["2024",2]]}}}],"schema":"https://github.com/citation-style-language/schema/raw/master/csl-citation.json"} </w:instrText>
      </w:r>
      <w:r w:rsidR="001F1E26" w:rsidRPr="00B90724">
        <w:rPr>
          <w:lang w:val="en-US"/>
        </w:rPr>
        <w:fldChar w:fldCharType="separate"/>
      </w:r>
      <w:r w:rsidR="00A20273" w:rsidRPr="00B90724">
        <w:rPr>
          <w:rFonts w:cs="Times New Roman"/>
        </w:rPr>
        <w:t>[101,102]</w:t>
      </w:r>
      <w:r w:rsidR="001F1E26" w:rsidRPr="00B90724">
        <w:rPr>
          <w:lang w:val="en-US"/>
        </w:rPr>
        <w:fldChar w:fldCharType="end"/>
      </w:r>
      <w:r w:rsidR="00BD573F" w:rsidRPr="00B90724">
        <w:rPr>
          <w:lang w:val="en-US"/>
        </w:rPr>
        <w:t>.</w:t>
      </w:r>
      <w:r w:rsidR="00B74678" w:rsidRPr="00B90724">
        <w:rPr>
          <w:lang w:val="en-US"/>
        </w:rPr>
        <w:t xml:space="preserve"> </w:t>
      </w:r>
      <w:r w:rsidR="00A42141" w:rsidRPr="00B90724">
        <w:rPr>
          <w:lang w:val="en-US"/>
        </w:rPr>
        <w:t xml:space="preserve">We noted a trend toward more frequent vasopressor use in the SG. In </w:t>
      </w:r>
      <w:r w:rsidR="00B23B50" w:rsidRPr="00B90724">
        <w:rPr>
          <w:lang w:val="en-US"/>
        </w:rPr>
        <w:t>a prev</w:t>
      </w:r>
      <w:r w:rsidR="00124758" w:rsidRPr="00B90724">
        <w:rPr>
          <w:lang w:val="en-US"/>
        </w:rPr>
        <w:t>i</w:t>
      </w:r>
      <w:r w:rsidR="00B23B50" w:rsidRPr="00B90724">
        <w:rPr>
          <w:lang w:val="en-US"/>
        </w:rPr>
        <w:t>ous</w:t>
      </w:r>
      <w:r w:rsidR="00A42141" w:rsidRPr="00B90724">
        <w:rPr>
          <w:lang w:val="en-US"/>
        </w:rPr>
        <w:t xml:space="preserve"> study involving obese patients, those treated with individually adjusted PEEP levels required vasoactive support more often during </w:t>
      </w:r>
      <w:r w:rsidR="00124758" w:rsidRPr="00B90724">
        <w:rPr>
          <w:lang w:val="en-US"/>
        </w:rPr>
        <w:t>alveolar recruitment maneuvers (</w:t>
      </w:r>
      <w:r w:rsidR="00A42141" w:rsidRPr="00B90724">
        <w:rPr>
          <w:lang w:val="en-US"/>
        </w:rPr>
        <w:t>ARMs</w:t>
      </w:r>
      <w:r w:rsidR="00124758" w:rsidRPr="00B90724">
        <w:rPr>
          <w:lang w:val="en-US"/>
        </w:rPr>
        <w:t>)</w:t>
      </w:r>
      <w:r w:rsidR="00A42141" w:rsidRPr="00B90724">
        <w:rPr>
          <w:lang w:val="en-US"/>
        </w:rPr>
        <w:t xml:space="preserve"> compared to those managed with a fixed PEEP of 12 cm H₂O (92% vs. 48%)</w:t>
      </w:r>
      <w:r w:rsidR="00BD573F" w:rsidRPr="00B90724">
        <w:rPr>
          <w:lang w:val="en-US"/>
        </w:rPr>
        <w:t xml:space="preserve"> </w:t>
      </w:r>
      <w:r w:rsidR="00A42141" w:rsidRPr="00B90724">
        <w:rPr>
          <w:lang w:val="en-US"/>
        </w:rPr>
        <w:fldChar w:fldCharType="begin"/>
      </w:r>
      <w:r w:rsidR="00A20273" w:rsidRPr="00B90724">
        <w:rPr>
          <w:lang w:val="en-US"/>
        </w:rPr>
        <w:instrText xml:space="preserve"> ADDIN ZOTERO_ITEM CSL_CITATION {"citationID":"ninQ4nUy","properties":{"formattedCitation":"[103]","plainCitation":"[103]","noteIndex":0},"citationItems":[{"id":1641,"uris":["http://zotero.org/users/local/L5HAWlIW/items/DFKIYWBS"],"itemData":{"id":1641,"type":"article-journal","abstract":"BACKGROUND: General anesthesia may cause atelectasis and deterioration in oxygenation in obese patients. The authors hypothesized that individualized positive end‐expiratory pressure (PEEP) improves intraoperative oxygenation and ventilation distribution compared to fixed PEEP. METHODS: This secondary analysis included all obese patients recruited at University Hospital of Leipzig from the multicenter Protective Intraoperative Ventilation with Higher versus Lower Levels of Positive End‐Expiratory Pressure in Obese Patients (PROBESE) trial (n = 42) and likewise all obese patients from a local single‐center trial (n = 54). Inclusion criteria for both trials were elective laparoscopic abdominal surgery, body mass index greater than or equal to 35 kg/m2, and Assess Respiratory Risk in Surgical Patients in Catalonia (ARISCAT) score greater than or equal to 26. Patients were randomized to PEEP of 4 cm H2O (n = 19) or a recruitment maneuver followed by PEEP of 12 cm H2O (n = 21) in the PROBESE study. In the single‐center study, they were randomized to PEEP of 5 cm H2O (n = 25) or a recruitment maneuver followed by individualized PEEP (n = 25) determined by electrical impedance tomography. Primary endpoint was Pao2/inspiratory oxygen fraction before extubation and secondary endpoints included intraoperative tidal volume distribution to dependent lung and driving pressure. RESULTS: Ninety patients were evaluated in three groups after combining the two lower PEEP groups. Median individualized PEEP was 18 (interquartile range, 16 to 22; range, 10 to 26) cm H2O. Pao2/inspiratory oxygen fraction before extubation was 515 (individual PEEP), 370 (fixed PEEP of 12 cm H2O), and 305 (fixed PEEP of 4 to 5 cm H2O) mmHg (difference to individualized PEEP, 145; 95% CI, 91 to 200; P &lt; 0.001 for fixed PEEP of 12 cm H2O and 210; 95% CI, 164 to 257; P &lt; 0.001 for fixed PEEP of 4 to 5 cm H2O). Intraoperative tidal volume in the dependent lung areas was 43.9% (individualized PEEP), 25.9% (fixed PEEP of 12 cm H2O) and 26.8% (fixed PEEP of 4 to 5 cm H2O) (difference to individualized PEEP: 18.0%; 95% CI, 8.0 to 20.7; P &lt; 0.001 for fixed PEEP of 12 cm H2O and 17.1%; 95% CI, 10.0 to 20.6; P &lt; 0.001 for fixed PEEP of 4 to 5 cm H2O). Mean intraoperative driving pressure was 9.8 cm H2O (individualized PEEP), 14.4 cm H2O (fixed PEEP of 12 cm H2O), and 18.8 cm H2O (fixed PEEP of 4 to 5 cm H2O), P &lt; 0.001. CONCLUSIONS: This secondary analysis of obese patients undergoing laparoscopic surgery found better oxygenation, lower driving pressures, and redistribution of ventilation toward dependent lung areas measured by electrical impedance tomography using individualized PEEP. The impact on patient outcome remains unclear.","archive_location":"CN-02263520","container-title":"Anesthesiology","DOI":"10.1097/ALN.0000000000003762","issue":"6","journalAbbreviation":"Anesthesiology","page":"887‐900","title":"Individualized versus Fixed Positive End-expiratory Pressure for Intraoperative Mechanical Ventilation in Obese Patients: a Secondary Analysis","volume":"134","author":[{"family":"Simon","given":"P"},{"family":"Girrbach","given":"F"},{"family":"Petroff","given":"D"},{"family":"Schliewe","given":"N"},{"family":"Hempel","given":"G"},{"family":"Lange","given":"M"},{"family":"Bluth","given":"T"},{"family":"Gama de Abreu","given":"M"},{"family":"Beda","given":"A"},{"family":"Schultz","given":"MJ"},{"literal":"et al."}],"issued":{"date-parts":[["2021"]]}}}],"schema":"https://github.com/citation-style-language/schema/raw/master/csl-citation.json"} </w:instrText>
      </w:r>
      <w:r w:rsidR="00A42141" w:rsidRPr="00B90724">
        <w:rPr>
          <w:lang w:val="en-US"/>
        </w:rPr>
        <w:fldChar w:fldCharType="separate"/>
      </w:r>
      <w:r w:rsidR="00A20273" w:rsidRPr="00B90724">
        <w:rPr>
          <w:rFonts w:cs="Times New Roman"/>
        </w:rPr>
        <w:t>[103]</w:t>
      </w:r>
      <w:r w:rsidR="00A42141" w:rsidRPr="00B90724">
        <w:rPr>
          <w:lang w:val="en-US"/>
        </w:rPr>
        <w:fldChar w:fldCharType="end"/>
      </w:r>
      <w:r w:rsidR="00BD573F" w:rsidRPr="00B90724">
        <w:rPr>
          <w:lang w:val="en-US"/>
        </w:rPr>
        <w:t>.</w:t>
      </w:r>
      <w:r w:rsidR="00A42141" w:rsidRPr="00B90724">
        <w:rPr>
          <w:lang w:val="en-US"/>
        </w:rPr>
        <w:t xml:space="preserve"> The most marked difference in vasopressor requirement was observed in a study on robot-assisted radical prostatectomy, where vasopressor use was significantly more common in the SG (90.0% vs. 56.7%; p = 0.004)</w:t>
      </w:r>
      <w:r w:rsidR="00BD573F" w:rsidRPr="00B90724">
        <w:rPr>
          <w:lang w:val="en-US"/>
        </w:rPr>
        <w:t xml:space="preserve"> </w:t>
      </w:r>
      <w:r w:rsidR="00DF772F" w:rsidRPr="00B90724">
        <w:rPr>
          <w:lang w:val="en-US"/>
        </w:rPr>
        <w:fldChar w:fldCharType="begin"/>
      </w:r>
      <w:r w:rsidR="006235F6" w:rsidRPr="00B90724">
        <w:rPr>
          <w:lang w:val="en-US"/>
        </w:rPr>
        <w:instrText xml:space="preserve"> ADDIN ZOTERO_ITEM CSL_CITATION {"citationID":"GX8QP8ur","properties":{"formattedCitation":"[15]","plainCitation":"[15]","noteIndex":0},"citationItems":[{"id":143,"uris":["http://zotero.org/users/local/L5HAWlIW/items/DLC97TPW"],"itemData":{"id":143,"type":"article-journal","abstract":"For patients undergoing robot-assisted radical prostatectomy, the pneumoperitoneum with a steep Trendelenburg position could worsen intraoperative respiratory mechanics and result in postoperative atelectasis. We investigated the effects of individualized positive end-expiratory pressure (PEEP) on postoperative atelectasis, evaluated using lung ultrasonography. Sixty patients undergoing robot-assisted radical prostatectomy were randomly allocated into two groups. Individualized groups (n = 30) received individualized PEEP determined by a decremental PEEP trial using 20 to 7 cm H2O, aiming at maximizing respiratory compliance, whereas standardized groups (n = 30) received a standardized PEEP of 7 cm H2O during the pneumoperitoneum. Ultrasound examination was performed on 12 sections of thorax, and the lung ultrasound score was measured as 0-3 by considering the number of B lines and the degree of subpleural consolidation. The primary outcome was the difference between the lung ultrasound scores measured before anesthesia induction and just after extubation in the operating room. An increase in the difference means the development of atelectasis. The optimal PEEP in the individualized group was determined as the median (interquartile range) 14 (12-18) cm H2O. Compared with the standardized group, the difference in the lung ultrasound scores was significantly smaller in the individualized group (-0.5 ± 2.7 vs. 6.0 ± 2.9, mean difference -6.53, 95% confidence interval (-8.00 to -5.07), p &lt; 0.001), which means that individualized PEEP was effective to reduce atelectasis. The lung ultrasound score measured after surgery was significantly lower in the individualized group than the standardized group (8.1 ± 5.7 vs. 12.2 ± 4.2, mean difference -4.13, 95% confidence interval (-6.74 to -1.53), p = 0.002). However, the arterial partial pressure of the oxygen/fraction of inspired oxygen levels during the surgery showed no significant time-group interaction between the two groups in repeated-measures analysis of variance (p = 0.145). The incidence of a composite of postoperative respiratory complications was comparable between the two groups. Individualized PEEP determined by maximal respiratory compliance during the pneumoperitoneum and steep Trendelenburg position significantly reduced postoperative atelectasis, as evaluated using lung ultrasonography. However, the clinical significance of this finding should be evaluated by a larger clinical trial.","container-title":"Journal of clinical medicine","DOI":"10.3390/jcm10040850","issue":"4","note":"publisher: Multidisciplinary Digital Publishing Institute (MDPI)","page":"850-NA","title":"The Effect of Ventilation with Individualized Positive End-Expiratory Pressure on Postoperative Atelectasis in Patients Undergoing Robot-Assisted Radical Prostatectomy: A Randomized Controlled Trial.","volume":"10","author":[{"family":"Yoon","given":"Hyun Kyu; Kim","suffix":"Bo Rim; Yoon, Susie; Jeong, Young Hyun; Ku, Ja Hyeon; Kim, Won Ho"}],"issued":{"date-parts":[["2021"]]}}}],"schema":"https://github.com/citation-style-language/schema/raw/master/csl-citation.json"} </w:instrText>
      </w:r>
      <w:r w:rsidR="00DF772F" w:rsidRPr="00B90724">
        <w:rPr>
          <w:lang w:val="en-US"/>
        </w:rPr>
        <w:fldChar w:fldCharType="separate"/>
      </w:r>
      <w:r w:rsidR="006235F6" w:rsidRPr="00B90724">
        <w:rPr>
          <w:rFonts w:cs="Times New Roman"/>
        </w:rPr>
        <w:t>[15]</w:t>
      </w:r>
      <w:r w:rsidR="00DF772F" w:rsidRPr="00B90724">
        <w:rPr>
          <w:lang w:val="en-US"/>
        </w:rPr>
        <w:fldChar w:fldCharType="end"/>
      </w:r>
      <w:r w:rsidR="00BD573F" w:rsidRPr="00B90724">
        <w:rPr>
          <w:lang w:val="en-US"/>
        </w:rPr>
        <w:t>.</w:t>
      </w:r>
    </w:p>
    <w:p w14:paraId="2259CF37" w14:textId="5562561A" w:rsidR="00B23B50" w:rsidRPr="00B90724" w:rsidRDefault="00B23B50" w:rsidP="0036711F">
      <w:pPr>
        <w:rPr>
          <w:lang w:val="en-US"/>
        </w:rPr>
      </w:pPr>
      <w:r w:rsidRPr="00B90724">
        <w:rPr>
          <w:lang w:val="en-US"/>
        </w:rPr>
        <w:t xml:space="preserve">Our analysis found a relative risk of 1.07 for not requiring vasopressor support in the CG compared to the SG, though this result did not reach statistical significance. </w:t>
      </w:r>
      <w:r w:rsidR="00C40C11" w:rsidRPr="00B90724">
        <w:rPr>
          <w:lang w:val="en-US"/>
        </w:rPr>
        <w:t xml:space="preserve">Among </w:t>
      </w:r>
      <w:r w:rsidRPr="00B90724">
        <w:rPr>
          <w:lang w:val="en-US"/>
        </w:rPr>
        <w:t xml:space="preserve">the four studies </w:t>
      </w:r>
      <w:r w:rsidR="00C40C11" w:rsidRPr="00B90724">
        <w:rPr>
          <w:lang w:val="en-US"/>
        </w:rPr>
        <w:t>providing</w:t>
      </w:r>
      <w:r w:rsidRPr="00B90724">
        <w:rPr>
          <w:lang w:val="en-US"/>
        </w:rPr>
        <w:t xml:space="preserve"> </w:t>
      </w:r>
      <w:r w:rsidR="00A73565" w:rsidRPr="00B90724">
        <w:rPr>
          <w:lang w:val="en-US"/>
        </w:rPr>
        <w:t>data</w:t>
      </w:r>
      <w:r w:rsidRPr="00B90724">
        <w:rPr>
          <w:lang w:val="en-US"/>
        </w:rPr>
        <w:t xml:space="preserve"> on norepinephrine infusion rates, only one</w:t>
      </w:r>
      <w:r w:rsidR="00BD573F" w:rsidRPr="00B90724">
        <w:rPr>
          <w:lang w:val="en-US"/>
        </w:rPr>
        <w:t xml:space="preserve"> </w:t>
      </w:r>
      <w:r w:rsidR="007D289A" w:rsidRPr="00B90724">
        <w:rPr>
          <w:lang w:val="en-US"/>
        </w:rPr>
        <w:fldChar w:fldCharType="begin"/>
      </w:r>
      <w:r w:rsidR="000E3931" w:rsidRPr="00B90724">
        <w:rPr>
          <w:lang w:val="en-US"/>
        </w:rPr>
        <w:instrText xml:space="preserve"> ADDIN ZOTERO_ITEM CSL_CITATION {"citationID":"zt03BNT5","properties":{"formattedCitation":"[48]","plainCitation":"[48]","noteIndex":0},"citationItems":[{"id":198,"uris":["http://zotero.org/users/local/L5HAWlIW/items/YALB6N24"],"itemData":{"id":198,"type":"article-journal","abstract":"Bariatric surgery has proven a successful approach in the treatment of morbid obesity and its concomitant diseases such as diabetes mellitus and arterial hypertension. Aiming for optimal management of this challenging patient cohort, tailored concepts directly guided by individual patient physiology may outperform standardized care. Implying esophageal pressure measurement and electrical impedance tomography—increasingly applied monitoring approaches to individually adjust mechanical ventilation in challenging circumstances like acute respiratory distress syndrome (ARDS) and intraabdominal hypertension—we compared our institutions standard ventilator regimen with an individually adjusted positive end expiratory pressure (PEEP) level aiming for a positive transpulmonary pressure (P L) throughout the respiratory cycle. After obtaining written informed consent, 37 patients scheduled for elective bariatric surgery were studied during mechanical ventilation in reverse Trendelenburg position. Before and after installation of capnoperitoneum, PEEP levels were gradually raised from a standard value of 10 cm H2O until a P L of 0 +/− 1 cm H2O was reached. Changes in ventilation were monitored by electrical impedance tomography (EIT) and arterial blood gases (ABGs) were obtained at the end of surgery and 5 and 60 min after extubation, respectively. To achieve the goal of a transpulmonary pressure (P L) of 0 cm H2O at end expiration, PEEP levels of 16.7 cm H2O (95% KI 15.6–18.1) before and 23.8 cm H2O (95% KI 19.6–40.4) during capnoperitoneum were necessary. EIT measurements confirmed an optimal PEEP level between 10 and 15 cm H2O before and 20 and 25 cm H2O during capnoperitoneum, respectively. Intra- and postoperative oxygenation did not change significantly. Patients during laparoscopic bariatric surgery require high levels of PEEP to maintain a positive transpulmonary pressure throughout the respiratory cycle. EIT monitoring allows for non-invasive monitoring of increasing PEEP demand during capnoperitoneum. Individually adjusted PEEP levels did not result in improved postoperative oxygenation.","container-title":"Obesity surgery","DOI":"10.1007/s11695-017-2794-3","issue":"1","note":"publisher: Springer New York","page":"122-129","title":"Intraoperative Ventilation of Morbidly Obese Patients Guided by Transpulmonary Pressure.","volume":"28","author":[{"family":"Eichler","given":"Lars; Truskowska","suffix":"Katarzyna; Duprée, Anna; Busch, Philipp; Goetz, Alwin E.; Zöllner, Christian"}],"issued":{"date-parts":[["2017"]]}}}],"schema":"https://github.com/citation-style-language/schema/raw/master/csl-citation.json"} </w:instrText>
      </w:r>
      <w:r w:rsidR="007D289A" w:rsidRPr="00B90724">
        <w:rPr>
          <w:lang w:val="en-US"/>
        </w:rPr>
        <w:fldChar w:fldCharType="separate"/>
      </w:r>
      <w:r w:rsidR="000E3931" w:rsidRPr="00B90724">
        <w:rPr>
          <w:rFonts w:cs="Times New Roman"/>
        </w:rPr>
        <w:t>[48]</w:t>
      </w:r>
      <w:r w:rsidR="007D289A" w:rsidRPr="00B90724">
        <w:rPr>
          <w:lang w:val="en-US"/>
        </w:rPr>
        <w:fldChar w:fldCharType="end"/>
      </w:r>
      <w:r w:rsidRPr="00B90724">
        <w:rPr>
          <w:lang w:val="en-US"/>
        </w:rPr>
        <w:t xml:space="preserve"> reported lower mean dosing in the SG</w:t>
      </w:r>
      <w:r w:rsidR="00BD573F" w:rsidRPr="00B90724">
        <w:rPr>
          <w:lang w:val="en-US"/>
        </w:rPr>
        <w:t xml:space="preserve"> </w:t>
      </w:r>
      <w:r w:rsidR="007D289A" w:rsidRPr="00B90724">
        <w:rPr>
          <w:lang w:val="en-US"/>
        </w:rPr>
        <w:fldChar w:fldCharType="begin"/>
      </w:r>
      <w:r w:rsidR="000E3931" w:rsidRPr="00B90724">
        <w:rPr>
          <w:lang w:val="en-US"/>
        </w:rPr>
        <w:instrText xml:space="preserve"> ADDIN ZOTERO_ITEM CSL_CITATION {"citationID":"nD6ZNvsP","properties":{"formattedCitation":"[6,14,17,48]","plainCitation":"[6,14,17,48]","noteIndex":0},"citationItems":[{"id":167,"uris":["http://zotero.org/users/local/L5HAWlIW/items/53VQRNW3"],"itemData":{"id":167,"type":"article-journal","abstract":"Applying lung protective mechanical ventilation (LPV) during general anaesthesia even in patients with non-injured lungs is recommended. However, the effects of an individual PEEP-optimisation on respiratory mechanics, oxygenation and their potential correlation with the inflammatory response and postoperative complications have not been evaluated have not been compared to standard LPV in patients undergoing major abdominal surgery. Thirty-nine patients undergoing open radical cystectomy were enrolled in this study. In the study group (SG) optimal PEEP was determined by a decremental titration procedure and defined as the PEEP value resulting the highest static pulmonary compliance. In the control group (CG) PEEP was set to 6 cmH2O. Primary endpoints were intraoperative respiratory mechanics and gas exchange parameters. Secondary outcomes were perioperative procalcitonin kinetics and postoperative pulmonary complications. Optimal PEEP levels (median = 10, range: 8–14 cmH2O), PaO2/FiO2 (451.24 ± 121.78 mmHg vs. 404.15 ± 115.87 mmHg, P = 0.005) and static pulmonary compliance (52.54 ± 13.59 ml cmH2O-1 vs. 45.22 ± 9.13 ml cmH2O-1, P &lt; 0.0001) were significantly higher, while driving pressure (8.26 ± 1.74 cmH2O vs. 9.73 ± 4.02 cmH2O, P &lt; 0.0001) was significantly lower in the SG as compared to the CG. No significant intergroup differences were found in procalcitonin kinetics (P = 0.076). Composite outcome results indicated a non-significant reduction of postoperative complications in the SG. Intraoperative PEEP-optimization resulted in significant improvement in gas exchange and pulmonary mechanics as compared to standard LPV. Whether these have any effect on short and long term outcomes require further investigations. Trial registration: Clinicaltrials.gov, identifier: NCT02931409.","container-title":"Journal of clinical monitoring and computing","DOI":"10.1007/s10877-020-00519-6","issue":"3","note":"publisher: Springer Netherlands","page":"469-482","title":"Effects of intraoperative positive end-expiratory pressure optimization on respiratory mechanics and the inflammatory response: a randomized controlled trial","volume":"35","author":[{"family":"Ruszkai","given":"Zoltán; Kiss","suffix":"Erika; László, Ildikó; Bokrétás, Gergely Péter; Vizserálek, Dóra; Vámossy, Ildikó; Surány, Erika; Buzogány, István; Bajory, Zoltán; Molnár, Zsolt"}],"issued":{"date-parts":[["2020"]]}}},{"id":163,"uris":["http://zotero.org/users/local/L5HAWlIW/items/V9KG3S7Z"],"itemData":{"id":163,"type":"article-journal","abstract":"Abstract Background General anaesthesia leads to atelectasis, reduced end-expiratory lung volume (EELV), and diminished arterial oxygenation in obese patients. We hypothesized that a combination of a recruitment manoeuvre (RM) and individualized positive end-expiratory pressure (PEEP) can avoid these effects. Methods Patients with a BMI ≥35 kg m−2 undergoing elective laparoscopic surgery were randomly allocated to mechanical ventilation with a tidal volume of 8 ml kg−1 predicted body weight and (i) an RM followed by individualized PEEP titrated using electrical impedance tomography (PEEPIND) or (ii) no RM and PEEP of 5 cm H2O (PEEP5). Gas exchange, regional ventilation distribution, and EELV (multiple breath nitrogen washout method) were determined before, during, and after anaesthesia. The primary end point was the ratio of arterial partial pressure of oxygen to inspiratory oxygen fraction (PaO2/FiO2). Results For PEEPIND (n=25) and PEEP5 (n=25) arms together, PaO2/FiO2 and EELV decreased by 15 kPa [95% confidence interval (CI) 11–20 kPa, P Conclusions In obese patients, an RM and higher PEEPIND restored EELV, regional ventilation distribution, and oxygenation during anaesthesia, but these differences did not persist after extubation. Therefore, lung protection strategies should include the postoperative period. Clinical trial registration German clinical trials register DRKS00004199, www.who.int/ictrp/network/drks2/en/.","container-title":"British journal of anaesthesia","DOI":"10.1093/bja/aex192","issue":"6","note":"publisher: Oxford University Press","page":"1194-1205","title":"Individualized positive end-expiratory pressure in obese patients during general anaesthesia: a randomized controlled clinical trial using electrical impedance tomography","volume":"119","author":[{"family":"Nestler","given":"C.; Simon","suffix":"P.; Petroff, David; Hammermüller, Sören; Kamrath, D.; Wolf, Samuel J.; Dietrich, Arne; Camilo, Luciana Moisés; Beda, Alessandro; Carvalho, Alysson R.; Giannella-Neto, Antonio; Reske, Andreas W.; Wrigge, Hermann"}],"issued":{"date-parts":[["2017"]]}}},{"id":198,"uris":["http://zotero.org/users/local/L5HAWlIW/items/YALB6N24"],"itemData":{"id":198,"type":"article-journal","abstract":"Bariatric surgery has proven a successful approach in the treatment of morbid obesity and its concomitant diseases such as diabetes mellitus and arterial hypertension. Aiming for optimal management of this challenging patient cohort, tailored concepts directly guided by individual patient physiology may outperform standardized care. Implying esophageal pressure measurement and electrical impedance tomography—increasingly applied monitoring approaches to individually adjust mechanical ventilation in challenging circumstances like acute respiratory distress syndrome (ARDS) and intraabdominal hypertension—we compared our institutions standard ventilator regimen with an individually adjusted positive end expiratory pressure (PEEP) level aiming for a positive transpulmonary pressure (P L) throughout the respiratory cycle. After obtaining written informed consent, 37 patients scheduled for elective bariatric surgery were studied during mechanical ventilation in reverse Trendelenburg position. Before and after installation of capnoperitoneum, PEEP levels were gradually raised from a standard value of 10 cm H2O until a P L of 0 +/− 1 cm H2O was reached. Changes in ventilation were monitored by electrical impedance tomography (EIT) and arterial blood gases (ABGs) were obtained at the end of surgery and 5 and 60 min after extubation, respectively. To achieve the goal of a transpulmonary pressure (P L) of 0 cm H2O at end expiration, PEEP levels of 16.7 cm H2O (95% KI 15.6–18.1) before and 23.8 cm H2O (95% KI 19.6–40.4) during capnoperitoneum were necessary. EIT measurements confirmed an optimal PEEP level between 10 and 15 cm H2O before and 20 and 25 cm H2O during capnoperitoneum, respectively. Intra- and postoperative oxygenation did not change significantly. Patients during laparoscopic bariatric surgery require high levels of PEEP to maintain a positive transpulmonary pressure throughout the respiratory cycle. EIT monitoring allows for non-invasive monitoring of increasing PEEP demand during capnoperitoneum. Individually adjusted PEEP levels did not result in improved postoperative oxygenation.","container-title":"Obesity surgery","DOI":"10.1007/s11695-017-2794-3","issue":"1","note":"publisher: Springer New York","page":"122-129","title":"Intraoperative Ventilation of Morbidly Obese Patients Guided by Transpulmonary Pressure.","volume":"28","author":[{"family":"Eichler","given":"Lars; Truskowska","suffix":"Katarzyna; Duprée, Anna; Busch, Philipp; Goetz, Alwin E.; Zöllner, Christian"}],"issued":{"date-parts":[["2017"]]}}},{"id":148,"uris":["http://zotero.org/users/local/L5HAWlIW/items/B5V6G46C"],"itemData":{"id":148,"type":"article-journal","abstract":"Abstract Background Robot-assisted laparoscopic radical prostatectomy requires general anaesthesia, extreme Trendelenburg positioning and capnoperitoneum. Together these promote impaired pulmonary gas exchange caused by atelectasis and may contribute to postoperative pulmonary complications. In morbidly obese patients, a recruitment manoeuvre (RM) followed by individualised PEEP improves intraoperative oxygenation and end-expiratory lung volume (EELV). We hypothesised that individualised PEEP with initial RM similarly improves intraoperative oxygenation and EELV in non-obese individuals undergoing robot-assisted prostatectomy. Methods Forty males (age, 49–76 yr; BMI Results In 20 males randomised to RM/PEEPIND, the median PEEPIND was 14 cm H2O [inter-quartile range, 8–20]. The Pao2/Fio2 was 10.0 kPa higher with RM/PEEPIND before extubation (95% confidence interval [CI], 2.6–17.3 kPa; P=0.001). RM/PEEPIND increased end-expiratory lung volume by 1.49 L (95% CI, 1.09–1.89 L; P Conclusion In non-obese males, an individualised ventilation strategy improved intraoperative oxygenation, which was associated with higher end-expiratory lung volumes during robot-assisted laparoscopic prostatectomy. Clinical trial registration DRKS00004199 (German clinical trials registry)","container-title":"British journal of anaesthesia","DOI":"10.1016/j.bja.2020.05.041","issue":"3","note":"publisher: Oxford University Press","page":"373-382","title":"Individualised positive end-expiratory pressure guided by electrical impedance tomography for robot-assisted laparoscopic radical prostatectomy: a prospective, randomised controlled clinical trial","volume":"125","author":[{"family":"Girrbach","given":"Felix; Petroff","suffix":"David; Schulz, Susann; Hempel, Gunther; Lange, Mirko; Klotz, Carolin; Scherz, Stephanie; Giannella-Neto, Antonio; Beda, Alessandro; Jardim-Neto, Alcendino; Stolzenburg, Jens-Uwe; Reske, Andreas W.; Wrigge, Hermann; Simon, Philipp"}],"issued":{"date-parts":[["2020"]]}}}],"schema":"https://github.com/citation-style-language/schema/raw/master/csl-citation.json"} </w:instrText>
      </w:r>
      <w:r w:rsidR="007D289A" w:rsidRPr="00B90724">
        <w:rPr>
          <w:lang w:val="en-US"/>
        </w:rPr>
        <w:fldChar w:fldCharType="separate"/>
      </w:r>
      <w:r w:rsidR="000E3931" w:rsidRPr="00B90724">
        <w:rPr>
          <w:rFonts w:cs="Times New Roman"/>
        </w:rPr>
        <w:t>[6,14,17,48]</w:t>
      </w:r>
      <w:r w:rsidR="007D289A" w:rsidRPr="00B90724">
        <w:rPr>
          <w:lang w:val="en-US"/>
        </w:rPr>
        <w:fldChar w:fldCharType="end"/>
      </w:r>
      <w:r w:rsidR="00BD573F" w:rsidRPr="00B90724">
        <w:rPr>
          <w:lang w:val="en-US"/>
        </w:rPr>
        <w:t>.</w:t>
      </w:r>
      <w:r w:rsidRPr="00B90724">
        <w:rPr>
          <w:lang w:val="en-US"/>
        </w:rPr>
        <w:t xml:space="preserve"> Given the limited data available, it remains difficult to draw firm conclusions about the impact of individualized PEEP titration on vasopressor requirements. Supporting this uncertainty, a recent physiological study found no significant difference in maximum norepinephrine infusion rates between individualized and fixed PEEP strategies</w:t>
      </w:r>
      <w:r w:rsidR="00BD573F" w:rsidRPr="00B90724">
        <w:rPr>
          <w:lang w:val="en-US"/>
        </w:rPr>
        <w:t xml:space="preserve"> </w:t>
      </w:r>
      <w:r w:rsidR="00B74678" w:rsidRPr="00B90724">
        <w:rPr>
          <w:lang w:val="en-US"/>
        </w:rPr>
        <w:fldChar w:fldCharType="begin"/>
      </w:r>
      <w:r w:rsidR="00A20273" w:rsidRPr="00B90724">
        <w:rPr>
          <w:lang w:val="en-US"/>
        </w:rPr>
        <w:instrText xml:space="preserve"> ADDIN ZOTERO_ITEM CSL_CITATION {"citationID":"yJLrK0JO","properties":{"formattedCitation":"[104]","plainCitation":"[104]","noteIndex":0},"citationItems":[{"id":1585,"uris":["http://zotero.org/users/local/L5HAWlIW/items/IELYPXMV"],"itemData":{"id":1585,"type":"article-journal","abstract":"BACKGROUND: The Trendelenburg position with pneumoperitoneum during surgery promotes dorsobasal atelectasis formation, which impairs respiratory mechanics and increases lung stress and strain. Positive end‐expiratory pressure (PEEP) can reduce pulmonary inhomogeneities and preserve end‐expiratory lung volume (EELV), resulting in decreased inspiratory strain and improved gas‐exchange. The optimal intraoperative PEEP strategy is unclear. OBJECTIVES: To compare the effects of individualised PEEP titration strategies on set PEEP levels and resulting transpulmonary pressures, respiratory mechanics, gas‐exchange and haemodynamics during Trendelenburg position with pneumoperitoneum. DESIGN: Prospective, randomised, crossover single‐centre physiologic trial. SETTING: University hospital. PATIENTS: Thirty‐six patients receiving robot‐assisted laparoscopic radical prostatectomy. INTERVENTIONS: Randomised sequence of three different PEEP strategies: standard PEEP level of 5 cmH 2 O (PEEP 5 ), PEEP titration targeting a minimal driving pressure (PEEP ΔP ) and oesophageal pressure‐guided PEEP titration (PEEP Poeso ) targeting an end‐expiratory transpulmonary pressure ( PTP ) of 0 cmH 2 O. MAIN OUTCOME MEASURES: The primary endpoint was the PEEP level when set according to PEEP ΔP and PEEP Poeso compared with PEEP of 5 cmH 2 O. Secondary endpoints were respiratory mechanics, lung volumes, gas‐exchange and haemodynamic parameters. RESULTS: PEEP levels differed between PEEP ΔP , PEEP Poeso and PEEP5 (18.0 [16.0 to 18.0] vs. 20.0 [18.0 to 24.0]vs. 5.0 [5.0 to 5.0] cmH 2 O; P  &lt; 0.001 each). End‐expiratory PTP and lung volume were lower in PEEP ΔP compared with PEEP Poeso ( P  = 0.014 and P  &lt; 0.001, respectively), but driving pressure, lung stress, as well as respiratory system and dynamic elastic power were minimised using PEEP ΔP ( P  &lt; 0.001 each). PEEP ΔP and PEEP Poeso improved gas‐exchange, but PEEP Poeso resulted in lower cardiac output compared with PEEP 5 and PEEP ΔP . CONCLUSION: PEEP ΔP ameliorated the effects of Trendelenburg position with pneumoperitoneum during surgery on end‐expiratory PTP and lung volume, decreased driving pressure and dynamic elastic power, as well as improved gas‐exchange while preserving cardiac output. TRIAL REGISTRATION: German Clinical Trials Register (DRKS00028559, date of registration 2022/04/27). https://drks.de/search/en/trial/DRKS00028559.","archive_location":"CN-02601874","container-title":"European journal of anaesthesiology","DOI":"10.1097/EJA.0000000000001894","issue":"11","journalAbbreviation":"European journal of anaesthesiology","page":"817‐825","title":"Effects of individualised positive end-expiratory pressure titration on respiratory and haemodynamic parameters during the Trendelenburg position with pneumoperitoneum: a randomised crossover physiologic trial","volume":"40","author":[{"family":"Boesing","given":"C"},{"family":"Schaefer","given":"L"},{"family":"Schoettler","given":"JJ"},{"family":"Quentin","given":"A"},{"family":"Beck","given":"G"},{"family":"Thiel","given":"M"},{"family":"Honeck","given":"P"},{"family":"Kowalewski","given":"KF"},{"family":"Pelosi","given":"P"},{"family":"Rocco","given":"PRM"},{"literal":"et al."}],"issued":{"date-parts":[["2023"]]}}}],"schema":"https://github.com/citation-style-language/schema/raw/master/csl-citation.json"} </w:instrText>
      </w:r>
      <w:r w:rsidR="00B74678" w:rsidRPr="00B90724">
        <w:rPr>
          <w:lang w:val="en-US"/>
        </w:rPr>
        <w:fldChar w:fldCharType="separate"/>
      </w:r>
      <w:r w:rsidR="00A20273" w:rsidRPr="00B90724">
        <w:rPr>
          <w:rFonts w:cs="Times New Roman"/>
        </w:rPr>
        <w:t>[104]</w:t>
      </w:r>
      <w:r w:rsidR="00B74678" w:rsidRPr="00B90724">
        <w:rPr>
          <w:lang w:val="en-US"/>
        </w:rPr>
        <w:fldChar w:fldCharType="end"/>
      </w:r>
      <w:r w:rsidR="00BD573F" w:rsidRPr="00B90724">
        <w:rPr>
          <w:lang w:val="en-US"/>
        </w:rPr>
        <w:t>.</w:t>
      </w:r>
    </w:p>
    <w:p w14:paraId="33B7971F" w14:textId="77777777" w:rsidR="00A011C8" w:rsidRPr="00B90724" w:rsidRDefault="00A011C8" w:rsidP="0036711F">
      <w:pPr>
        <w:rPr>
          <w:lang w:val="en-US"/>
        </w:rPr>
      </w:pPr>
    </w:p>
    <w:p w14:paraId="064E0AE4" w14:textId="448A9484" w:rsidR="00027321" w:rsidRPr="00B90724" w:rsidRDefault="00027321" w:rsidP="000D47A5">
      <w:pPr>
        <w:pStyle w:val="Heading3"/>
        <w:rPr>
          <w:szCs w:val="24"/>
          <w:lang w:val="en-US"/>
        </w:rPr>
      </w:pPr>
      <w:bookmarkStart w:id="92" w:name="_Toc211542220"/>
      <w:r w:rsidRPr="00B90724">
        <w:rPr>
          <w:szCs w:val="24"/>
          <w:lang w:val="en-US"/>
        </w:rPr>
        <w:lastRenderedPageBreak/>
        <w:t>9.1.</w:t>
      </w:r>
      <w:r w:rsidR="009F6DD3" w:rsidRPr="00B90724">
        <w:rPr>
          <w:szCs w:val="24"/>
          <w:lang w:val="en-US"/>
        </w:rPr>
        <w:t>4</w:t>
      </w:r>
      <w:r w:rsidRPr="00B90724">
        <w:rPr>
          <w:szCs w:val="24"/>
          <w:lang w:val="en-US"/>
        </w:rPr>
        <w:t>.</w:t>
      </w:r>
      <w:r w:rsidR="003653A8" w:rsidRPr="00B90724">
        <w:rPr>
          <w:szCs w:val="24"/>
          <w:lang w:val="en-US"/>
        </w:rPr>
        <w:t xml:space="preserve"> Respiratory Mechanics</w:t>
      </w:r>
      <w:bookmarkEnd w:id="92"/>
    </w:p>
    <w:p w14:paraId="263DC461" w14:textId="3A132DE9" w:rsidR="00801F3A" w:rsidRPr="00B90724" w:rsidRDefault="004F3558" w:rsidP="00801F3A">
      <w:pPr>
        <w:rPr>
          <w:lang w:val="en-US"/>
        </w:rPr>
      </w:pPr>
      <w:r w:rsidRPr="00B90724">
        <w:rPr>
          <w:lang w:val="en-US"/>
        </w:rPr>
        <w:t xml:space="preserve">Our findings demonstrated improved </w:t>
      </w:r>
      <w:r w:rsidR="00FF1AA0" w:rsidRPr="00B90724">
        <w:rPr>
          <w:lang w:val="en-US"/>
        </w:rPr>
        <w:t xml:space="preserve">respiratory </w:t>
      </w:r>
      <w:r w:rsidRPr="00B90724">
        <w:rPr>
          <w:lang w:val="en-US"/>
        </w:rPr>
        <w:t>compliance in the SG, reflected in both dynamic (Cdyn) and static (Cstat) measurements, with a statistically significant increase observed in Cstat. Although elevated pulmonary compliance may be seen in certain pathological conditions, the majority of studies included in our meta-analysis—except one—were conducted on patients without any known pre-existing lung disease</w:t>
      </w:r>
      <w:r w:rsidR="00BD573F" w:rsidRPr="00B90724">
        <w:rPr>
          <w:lang w:val="en-US"/>
        </w:rPr>
        <w:t xml:space="preserve"> </w:t>
      </w:r>
      <w:r w:rsidR="00EA6194" w:rsidRPr="00B90724">
        <w:rPr>
          <w:lang w:val="en-US"/>
        </w:rPr>
        <w:fldChar w:fldCharType="begin"/>
      </w:r>
      <w:r w:rsidR="000E3931" w:rsidRPr="00B90724">
        <w:rPr>
          <w:lang w:val="en-US"/>
        </w:rPr>
        <w:instrText xml:space="preserve"> ADDIN ZOTERO_ITEM CSL_CITATION {"citationID":"9uY0i1xU","properties":{"formattedCitation":"[56]","plainCitation":"[56]","noteIndex":0},"citationItems":[{"id":1568,"uris":["http://zotero.org/users/local/L5HAWlIW/items/5DJWX5NC"],"itemData":{"id":1568,"type":"article-journal","abstract":"Abstract\n            \n              Objective\n              To evaluate the effect of the individualized positive end-expiratory pressure (PEEP) lung protection ventilation strategy by combining driving pressure (ΔP) and pulmonary ultrasound (LUS)-based titration on lung function and postoperative cognitive function in patients with chronic obstructive pulmonary disease (COPD) during laparoscopic surgery.\n            \n            \n              Methods\n              \n                A total of 108 patients with COPD undergoing laparoscopic gastrointestinal surgery under general anesthesia were included in this study. They were randomly divided into three groups (n = 36): traditional volume ventilation group (Group C), fixed PEEP 5 cmH\n                2\n                O group (Group P), and ΔP combined with LUS-based PEEP titration in the resuscitation room group (Group T). All three groups were given volume ventilation mode, I:E = 1:2; In group C, VT was 10 mL/kg and PEEP was 0 cmH\n                2\n                O; In groups P and T, VT was 6 mL/kg and PEEP was 5 cmH\n                2\n                O; After mechanical ventilation for 15 min in Group T, ΔP in combination with LUS was used to titrate PEEP. The oxygenation index (PaO2/FiO2), airway platform pressure (Pplat), dynamic lung compliance (Cdyn), Montreal Cognitive Assessment (MoCA), and venous interleukin-6(IL-6) were recorded at the corresponding time points, and the final PEEP value in Group T was recorded.\n              \n            \n            \n              Results\n              \n                The final PEEP value of Group T was (6.4 ± 1.2) cmH\n                2\n                O; Compared with groups C and P: PaO\n                2\n                /FiO\n                2\n                and Cdyn in Group T were significantly increased (\n                P\n                 &lt; 0.05) and value of IL-6 was significantly decreased (\n                P\n                 &lt; 0.05) at the corresponding time points. Compared with group C, the MoCA score on day 7 after surgery in Group T was significantly higher (\n                P\n                 &lt; 0.05).\n              \n            \n            \n              Conclusion\n              Compared with the traditional ventilation strategy, the individualized ΔP combined with LUS-based PEEP titration in patients with COPD during the perioperative period of laparoscopic surgery can play a better role in lung protection and can improve postoperative cognitive function.","container-title":"BMC Pulmonary Medicine","DOI":"10.1186/s12890-023-02471-y","ISSN":"1471-2466","issue":"1","journalAbbreviation":"BMC Pulm Med","language":"en","page":"232","source":"DOI.org (Crossref)","title":"Effect of individualized PEEP titration by ultrasonography on perioperative pulmonary protection and postoperative cognitive function in patients with chronic obstructive pulmonary disease","volume":"23","author":[{"family":"Luo","given":"Lai-feng"},{"family":"Lin","given":"Yu-mei"},{"family":"Liu","given":"Ying"},{"family":"Gao","given":"Xiao-hua"},{"family":"Li","given":"Chui-yu"},{"family":"Zhang","given":"Xiao-qi"},{"family":"Wu","given":"Jian-hua"},{"family":"Chen","given":"Zhi-yuan"}],"issued":{"date-parts":[["2023",6,28]]}}}],"schema":"https://github.com/citation-style-language/schema/raw/master/csl-citation.json"} </w:instrText>
      </w:r>
      <w:r w:rsidR="00EA6194" w:rsidRPr="00B90724">
        <w:rPr>
          <w:lang w:val="en-US"/>
        </w:rPr>
        <w:fldChar w:fldCharType="separate"/>
      </w:r>
      <w:r w:rsidR="000E3931" w:rsidRPr="00B90724">
        <w:rPr>
          <w:rFonts w:cs="Times New Roman"/>
        </w:rPr>
        <w:t>[56]</w:t>
      </w:r>
      <w:r w:rsidR="00EA6194" w:rsidRPr="00B90724">
        <w:rPr>
          <w:lang w:val="en-US"/>
        </w:rPr>
        <w:fldChar w:fldCharType="end"/>
      </w:r>
      <w:r w:rsidR="00BD573F" w:rsidRPr="00B90724">
        <w:rPr>
          <w:lang w:val="en-US"/>
        </w:rPr>
        <w:t>.</w:t>
      </w:r>
      <w:r w:rsidR="0049663C" w:rsidRPr="00B90724">
        <w:rPr>
          <w:lang w:val="en-US"/>
        </w:rPr>
        <w:t xml:space="preserve"> </w:t>
      </w:r>
      <w:r w:rsidR="00EA6194" w:rsidRPr="00B90724">
        <w:rPr>
          <w:lang w:val="en-US"/>
        </w:rPr>
        <w:t>T</w:t>
      </w:r>
      <w:r w:rsidR="00801F3A" w:rsidRPr="00B90724">
        <w:rPr>
          <w:lang w:val="en-US"/>
        </w:rPr>
        <w:t xml:space="preserve">he </w:t>
      </w:r>
      <w:proofErr w:type="gramStart"/>
      <w:r w:rsidR="00801F3A" w:rsidRPr="00B90724">
        <w:rPr>
          <w:lang w:val="en-US"/>
        </w:rPr>
        <w:t>most commonly used</w:t>
      </w:r>
      <w:proofErr w:type="gramEnd"/>
      <w:r w:rsidR="00801F3A" w:rsidRPr="00B90724">
        <w:rPr>
          <w:lang w:val="en-US"/>
        </w:rPr>
        <w:t xml:space="preserve"> method to determine the optimal PEEP (</w:t>
      </w:r>
      <w:proofErr w:type="spellStart"/>
      <w:r w:rsidR="00801F3A" w:rsidRPr="00B90724">
        <w:rPr>
          <w:lang w:val="en-US"/>
        </w:rPr>
        <w:t>PEEPopt</w:t>
      </w:r>
      <w:proofErr w:type="spellEnd"/>
      <w:r w:rsidR="00801F3A" w:rsidRPr="00B90724">
        <w:rPr>
          <w:lang w:val="en-US"/>
        </w:rPr>
        <w:t xml:space="preserve">) involved targeting the level at which pulmonary compliance (either Cstat or Cdyn) was maximized. This introduces the possibility of selection bias, particularly since several of the included studies did not report compliance values. In one study by Boesing et al., both individualized titration methods tested were found to reduce dynamic lung strain and driving pressure more effectively than a fixed </w:t>
      </w:r>
      <w:r w:rsidR="00C40C11" w:rsidRPr="00B90724">
        <w:rPr>
          <w:lang w:val="en-US"/>
        </w:rPr>
        <w:t xml:space="preserve">level of </w:t>
      </w:r>
      <w:r w:rsidR="00801F3A" w:rsidRPr="00B90724">
        <w:rPr>
          <w:lang w:val="en-US"/>
        </w:rPr>
        <w:t>PEEP of 5 cm H₂O</w:t>
      </w:r>
      <w:r w:rsidR="00BD573F" w:rsidRPr="00B90724">
        <w:rPr>
          <w:lang w:val="en-US"/>
        </w:rPr>
        <w:t xml:space="preserve"> </w:t>
      </w:r>
      <w:r w:rsidR="0049663C" w:rsidRPr="00B90724">
        <w:rPr>
          <w:lang w:val="en-US"/>
        </w:rPr>
        <w:fldChar w:fldCharType="begin"/>
      </w:r>
      <w:r w:rsidR="00A20273" w:rsidRPr="00B90724">
        <w:rPr>
          <w:lang w:val="en-US"/>
        </w:rPr>
        <w:instrText xml:space="preserve"> ADDIN ZOTERO_ITEM CSL_CITATION {"citationID":"duNjJrwR","properties":{"formattedCitation":"[104]","plainCitation":"[104]","noteIndex":0},"citationItems":[{"id":1585,"uris":["http://zotero.org/users/local/L5HAWlIW/items/IELYPXMV"],"itemData":{"id":1585,"type":"article-journal","abstract":"BACKGROUND: The Trendelenburg position with pneumoperitoneum during surgery promotes dorsobasal atelectasis formation, which impairs respiratory mechanics and increases lung stress and strain. Positive end‐expiratory pressure (PEEP) can reduce pulmonary inhomogeneities and preserve end‐expiratory lung volume (EELV), resulting in decreased inspiratory strain and improved gas‐exchange. The optimal intraoperative PEEP strategy is unclear. OBJECTIVES: To compare the effects of individualised PEEP titration strategies on set PEEP levels and resulting transpulmonary pressures, respiratory mechanics, gas‐exchange and haemodynamics during Trendelenburg position with pneumoperitoneum. DESIGN: Prospective, randomised, crossover single‐centre physiologic trial. SETTING: University hospital. PATIENTS: Thirty‐six patients receiving robot‐assisted laparoscopic radical prostatectomy. INTERVENTIONS: Randomised sequence of three different PEEP strategies: standard PEEP level of 5 cmH 2 O (PEEP 5 ), PEEP titration targeting a minimal driving pressure (PEEP ΔP ) and oesophageal pressure‐guided PEEP titration (PEEP Poeso ) targeting an end‐expiratory transpulmonary pressure ( PTP ) of 0 cmH 2 O. MAIN OUTCOME MEASURES: The primary endpoint was the PEEP level when set according to PEEP ΔP and PEEP Poeso compared with PEEP of 5 cmH 2 O. Secondary endpoints were respiratory mechanics, lung volumes, gas‐exchange and haemodynamic parameters. RESULTS: PEEP levels differed between PEEP ΔP , PEEP Poeso and PEEP5 (18.0 [16.0 to 18.0] vs. 20.0 [18.0 to 24.0]vs. 5.0 [5.0 to 5.0] cmH 2 O; P  &lt; 0.001 each). End‐expiratory PTP and lung volume were lower in PEEP ΔP compared with PEEP Poeso ( P  = 0.014 and P  &lt; 0.001, respectively), but driving pressure, lung stress, as well as respiratory system and dynamic elastic power were minimised using PEEP ΔP ( P  &lt; 0.001 each). PEEP ΔP and PEEP Poeso improved gas‐exchange, but PEEP Poeso resulted in lower cardiac output compared with PEEP 5 and PEEP ΔP . CONCLUSION: PEEP ΔP ameliorated the effects of Trendelenburg position with pneumoperitoneum during surgery on end‐expiratory PTP and lung volume, decreased driving pressure and dynamic elastic power, as well as improved gas‐exchange while preserving cardiac output. TRIAL REGISTRATION: German Clinical Trials Register (DRKS00028559, date of registration 2022/04/27). https://drks.de/search/en/trial/DRKS00028559.","archive_location":"CN-02601874","container-title":"European journal of anaesthesiology","DOI":"10.1097/EJA.0000000000001894","issue":"11","journalAbbreviation":"European journal of anaesthesiology","page":"817‐825","title":"Effects of individualised positive end-expiratory pressure titration on respiratory and haemodynamic parameters during the Trendelenburg position with pneumoperitoneum: a randomised crossover physiologic trial","volume":"40","author":[{"family":"Boesing","given":"C"},{"family":"Schaefer","given":"L"},{"family":"Schoettler","given":"JJ"},{"family":"Quentin","given":"A"},{"family":"Beck","given":"G"},{"family":"Thiel","given":"M"},{"family":"Honeck","given":"P"},{"family":"Kowalewski","given":"KF"},{"family":"Pelosi","given":"P"},{"family":"Rocco","given":"PRM"},{"literal":"et al."}],"issued":{"date-parts":[["2023"]]}}}],"schema":"https://github.com/citation-style-language/schema/raw/master/csl-citation.json"} </w:instrText>
      </w:r>
      <w:r w:rsidR="0049663C" w:rsidRPr="00B90724">
        <w:rPr>
          <w:lang w:val="en-US"/>
        </w:rPr>
        <w:fldChar w:fldCharType="separate"/>
      </w:r>
      <w:r w:rsidR="00A20273" w:rsidRPr="00B90724">
        <w:rPr>
          <w:rFonts w:cs="Times New Roman"/>
        </w:rPr>
        <w:t>[104]</w:t>
      </w:r>
      <w:r w:rsidR="0049663C" w:rsidRPr="00B90724">
        <w:rPr>
          <w:lang w:val="en-US"/>
        </w:rPr>
        <w:fldChar w:fldCharType="end"/>
      </w:r>
      <w:r w:rsidR="00BD573F" w:rsidRPr="00B90724">
        <w:rPr>
          <w:lang w:val="en-US"/>
        </w:rPr>
        <w:t>.</w:t>
      </w:r>
    </w:p>
    <w:p w14:paraId="401CDD2A" w14:textId="677D2E4F" w:rsidR="00801F3A" w:rsidRPr="00B90724" w:rsidRDefault="00801F3A" w:rsidP="00801F3A">
      <w:pPr>
        <w:rPr>
          <w:lang w:val="en-US"/>
        </w:rPr>
      </w:pPr>
      <w:r w:rsidRPr="00B90724">
        <w:rPr>
          <w:lang w:val="en-US"/>
        </w:rPr>
        <w:t>As for whether it is the PEEP level itself—high or low—or the individualized approach that matters most, evidence from another trial comparing personalized titration strategies suggested superior respiratory mechanics and oxygenation outcomes w</w:t>
      </w:r>
      <w:r w:rsidR="00014988" w:rsidRPr="00B90724">
        <w:rPr>
          <w:lang w:val="en-US"/>
        </w:rPr>
        <w:t xml:space="preserve">hen PEEP was optimized </w:t>
      </w:r>
      <w:r w:rsidR="006C5C6D" w:rsidRPr="00B90724">
        <w:rPr>
          <w:lang w:val="en-US"/>
        </w:rPr>
        <w:t xml:space="preserve">by targeting an ideal </w:t>
      </w:r>
      <w:r w:rsidR="00517DC7" w:rsidRPr="00B90724">
        <w:rPr>
          <w:lang w:val="en-US"/>
        </w:rPr>
        <w:t xml:space="preserve">transpulmonary pressure, measured with an esophageal </w:t>
      </w:r>
      <w:r w:rsidR="007F643C" w:rsidRPr="00B90724">
        <w:rPr>
          <w:lang w:val="en-US"/>
        </w:rPr>
        <w:t>catheter (</w:t>
      </w:r>
      <w:r w:rsidRPr="00B90724">
        <w:rPr>
          <w:lang w:val="en-US"/>
        </w:rPr>
        <w:t>Peso-guided</w:t>
      </w:r>
      <w:r w:rsidR="007F643C" w:rsidRPr="00B90724">
        <w:rPr>
          <w:lang w:val="en-US"/>
        </w:rPr>
        <w:t xml:space="preserve"> method)</w:t>
      </w:r>
      <w:r w:rsidRPr="00B90724">
        <w:rPr>
          <w:lang w:val="en-US"/>
        </w:rPr>
        <w:t xml:space="preserve"> titration over a gas exchange–based approach</w:t>
      </w:r>
      <w:r w:rsidR="00BD573F" w:rsidRPr="00B90724">
        <w:rPr>
          <w:lang w:val="en-US"/>
        </w:rPr>
        <w:t xml:space="preserve"> </w:t>
      </w:r>
      <w:r w:rsidR="00332570" w:rsidRPr="00B90724">
        <w:rPr>
          <w:lang w:val="en-US"/>
        </w:rPr>
        <w:fldChar w:fldCharType="begin"/>
      </w:r>
      <w:r w:rsidR="00A20273" w:rsidRPr="00B90724">
        <w:rPr>
          <w:lang w:val="en-US"/>
        </w:rPr>
        <w:instrText xml:space="preserve"> ADDIN ZOTERO_ITEM CSL_CITATION {"citationID":"Vs8Ajxi5","properties":{"formattedCitation":"[105]","plainCitation":"[105]","noteIndex":0},"citationItems":[{"id":1753,"uris":["http://zotero.org/users/local/L5HAWlIW/items/NWGA9AFI"],"itemData":{"id":1753,"type":"article-journal","abstract":"BACKGROUND: Pneumoperitoneum and Trendelenburg position affect respiratory system mechanics and oxygenation during elective pelvic robotic surgery. The primary aim of this randomized pilot study was to compare the effects of a conventional low tidal volume ventilation with PEEP guided by gas exchange (VGas‐guided) versus low tidal volume ventilation tailoring PEEP according to esophageal pressure (VPes‐guided) on oxygenation and respiratory mechanics during elective pelvic robotic surgery. METHODS: This study was conducted in a single‐center tertiary hospital between September 2017 and January 2019. Forty‐nine adult patients scheduled for elective pelvic robotic surgery were screened; 28 subjects completed the full analysis. Exclusion criteria were American Society of Anesthesiologists physical status ≥ 3, contraindications to nasogastric catheter placement, and pregnancy. After dedicated naso/orogastric catheter insertion, subjects were randomly assigned to VGas‐guided ([Formula: see text] and PEEP set to achieve [Formula: see text] &gt; 94%) or VPes‐guided (PEEP tailored to equalize end‐expiratory transpulmonary pressure). Oxygenation ([Formula: see text]/[Formula: see text]) was evaluated (1) at randomization, after pneumoperitoneum and Trendelenburg application; (2) at 60 min; (3) at 120 min following randomization; and (4) at end of surgery. Respiratory mechanics were assessed during the duration of the study. RESULTS: Compared to VGas‐guided, oxygenation was higher with VPes‐guided at 60 min (388 ± 90 vs 308 ± 95 mm Hg, P = .02), at 120 min after randomization (400 ± 90 vs 308 ± 81 mm Hg, P = .008), and at the end of surgery (402 ± 95 vs 312 ± 95 mm Hg, P = .009). Respiratory system elastance was lower with VPes‐guided compared to VGas‐guided at 20 min (24.2 ± 7.3 vs 33.4 ± 10.7 cm H2O/L, P = .001) and 60 min (24.1 ± 5.4 vs 31.9 ± 8.5 cm H2O/L, P = .006) from randomization. CONCLUSIONS: Oxygenation and respiratory system mechanics were improved when applying a ventilatory strategy tailoring PEEP to equalize expiratory transpulmonary pressure in subjects undergoing pelvic robotic surgery compared to a VGas‐guided approach. (ClinicalTrials.gov registration NCT03153592).","archive_location":"CN-02120750","container-title":"Respiratory care","DOI":"10.4187/respcare.07238","issue":"5","journalAbbreviation":"Respiratory care","page":"625‐635","title":"Esophageal Pressure Versus Gas Exchange to Set PEEP During Intraoperative Ventilation","volume":"65","author":[{"family":"Cammarota","given":"G"},{"family":"Lauro","given":"G"},{"family":"Sguazzotti","given":"I"},{"family":"Mariano","given":"I"},{"family":"Perucca","given":"R"},{"family":"Messina","given":"A"},{"family":"Zanoni","given":"M"},{"family":"Garofalo","given":"E"},{"family":"Bruni","given":"A"},{"family":"Della Corte","given":"F"},{"literal":"et al."}],"issued":{"date-parts":[["2020"]]}}}],"schema":"https://github.com/citation-style-language/schema/raw/master/csl-citation.json"} </w:instrText>
      </w:r>
      <w:r w:rsidR="00332570" w:rsidRPr="00B90724">
        <w:rPr>
          <w:lang w:val="en-US"/>
        </w:rPr>
        <w:fldChar w:fldCharType="separate"/>
      </w:r>
      <w:r w:rsidR="00A20273" w:rsidRPr="00B90724">
        <w:rPr>
          <w:rFonts w:cs="Times New Roman"/>
        </w:rPr>
        <w:t>[105]</w:t>
      </w:r>
      <w:r w:rsidR="00332570" w:rsidRPr="00B90724">
        <w:rPr>
          <w:lang w:val="en-US"/>
        </w:rPr>
        <w:fldChar w:fldCharType="end"/>
      </w:r>
      <w:r w:rsidR="00BD573F" w:rsidRPr="00B90724">
        <w:rPr>
          <w:lang w:val="en-US"/>
        </w:rPr>
        <w:t>.</w:t>
      </w:r>
      <w:r w:rsidR="009306A8" w:rsidRPr="00B90724">
        <w:rPr>
          <w:lang w:val="en-US"/>
        </w:rPr>
        <w:t xml:space="preserve"> </w:t>
      </w:r>
      <w:r w:rsidR="00C40C11" w:rsidRPr="00B90724">
        <w:rPr>
          <w:lang w:val="en-US"/>
        </w:rPr>
        <w:t>A recent RCT</w:t>
      </w:r>
      <w:r w:rsidRPr="00B90724">
        <w:rPr>
          <w:lang w:val="en-US"/>
        </w:rPr>
        <w:t xml:space="preserve"> further emphasized the importance of re-evaluating PEEP throughout the surgical procedure, following the initial titration</w:t>
      </w:r>
      <w:r w:rsidR="00BD573F" w:rsidRPr="00B90724">
        <w:rPr>
          <w:lang w:val="en-US"/>
        </w:rPr>
        <w:t xml:space="preserve"> </w:t>
      </w:r>
      <w:r w:rsidR="00186AE5" w:rsidRPr="00B90724">
        <w:rPr>
          <w:lang w:val="en-US"/>
        </w:rPr>
        <w:fldChar w:fldCharType="begin"/>
      </w:r>
      <w:r w:rsidR="000E3931" w:rsidRPr="00B90724">
        <w:rPr>
          <w:lang w:val="en-US"/>
        </w:rPr>
        <w:instrText xml:space="preserve"> ADDIN ZOTERO_ITEM CSL_CITATION {"citationID":"mVbFiHx2","properties":{"formattedCitation":"[45]","plainCitation":"[45]","noteIndex":0},"citationItems":[{"id":182,"uris":["http://zotero.org/users/local/L5HAWlIW/items/463AFJSV"],"itemData":{"id":182,"type":"article-journal","abstract":"&lt;AbstractText Label=\"BACKGROUND\"&gt;Driving pressure (ΔP = Plateau pressure-PEEP) is highly correlated with postoperative pulmonary complications (PPCs) and appears to be a promising indicator for optimizing ventilator settings. We hypothesized that dynamic, individualized positive end-expiratory pressure (PEEP) guided by ΔP could reduce postoperative atelectasis and improve intraoperative oxygenation, respiratory mechanics, and reduce the incidence of PPCs on elderly patients undergoing laparoscopic surgery.&lt;/AbstractText&gt; &lt;AbstractText Label=\"METHODS\"&gt;Fifty-one elderly patients who were subject to laparoscopic surgery participated in this randomized trial. In the PEEP titration group (DV group), the PEEP titration was decremented to the lowest ΔP and repeated every 1 h. Additional procedures were also performed when performing predefined events that may be associated with lung collapse. In the constant PEEP group (PV group), a PEEP of 6 cmH&lt;sub&gt;2&lt;/sub&gt;O was used throughout the surgery. Moreover, zero PEEP was applied during the entire procedure in the conventional ventilation group (CV group). The primary objective of this study was lung ultrasound score noted at the end of surgery and 15 min after admission to the post-anesthesia care unit (PACU) at 12 lung areas bilaterally. The secondary endpoints were perioperative oxygenation function, expiratory mechanics, and the incidence of the PPCs.&lt;/AbstractText&gt; &lt;AbstractText Label=\"RESULTS\"&gt;The lung ultrasound scores of the DV group were significantly lower than those in the PV group and CV group (P &amp;lt; 0.05), whereas there was no significant difference between the PV group and CV group (P &amp;gt; 0.05). The lung static compliance (Cstat) and ΔP at all the intraoperative time points in the DV group were significantly better compared to the PV group and the CV group (p &amp;lt; 0.05).&lt;/AbstractText&gt; &lt;AbstractText Label=\"CONCLUSIONS\"&gt;Intraoperative titrated PEEP reduced postoperative lung atelectasis and improved respiratory mechanics in elderly patients undergoing laparoscopic surgery. Meanwhile, standard PEEP strategy is not superior to conventional ventilation in reducing postoperative pulmonary atelectasis in laparoscopic surgery.&lt;/AbstractText&gt; &lt;CopyrightInformation&gt;© 2022. The Author(s).&lt;/CopyrightInformation&gt;","container-title":"BMC anesthesiology","DOI":"10.1186/s12871-022-01613-9","issue":"1","note":"publisher: BioMed Central","page":"72-NA","title":"Effects of dynamic individualized PEEP guided by driving pressure in laparoscopic surgery on postoperative atelectasis in elderly patients: a prospective randomized controlled trial.","volume":"22","author":[{"family":"Xu","given":"Qi; Guo","suffix":"Xiao; Liu, Jiang; Li, Si-Xun; Ma, Hai-Rui; Wang, Fei-Xiang; Lin, Jing-Yan"}],"issued":{"date-parts":[["2022"]]}}}],"schema":"https://github.com/citation-style-language/schema/raw/master/csl-citation.json"} </w:instrText>
      </w:r>
      <w:r w:rsidR="00186AE5" w:rsidRPr="00B90724">
        <w:rPr>
          <w:lang w:val="en-US"/>
        </w:rPr>
        <w:fldChar w:fldCharType="separate"/>
      </w:r>
      <w:r w:rsidR="000E3931" w:rsidRPr="00B90724">
        <w:rPr>
          <w:rFonts w:cs="Times New Roman"/>
        </w:rPr>
        <w:t>[45]</w:t>
      </w:r>
      <w:r w:rsidR="00186AE5" w:rsidRPr="00B90724">
        <w:rPr>
          <w:lang w:val="en-US"/>
        </w:rPr>
        <w:fldChar w:fldCharType="end"/>
      </w:r>
      <w:r w:rsidR="00BD573F" w:rsidRPr="00B90724">
        <w:rPr>
          <w:lang w:val="en-US"/>
        </w:rPr>
        <w:t>.</w:t>
      </w:r>
      <w:r w:rsidRPr="00B90724">
        <w:rPr>
          <w:lang w:val="en-US"/>
        </w:rPr>
        <w:t xml:space="preserve"> This practice is justified, given that prolonged mechanical ventilation is often associated with a gradual decline in </w:t>
      </w:r>
      <w:r w:rsidR="00FF1AA0" w:rsidRPr="00B90724">
        <w:rPr>
          <w:lang w:val="en-US"/>
        </w:rPr>
        <w:t xml:space="preserve">respiratory </w:t>
      </w:r>
      <w:r w:rsidRPr="00B90724">
        <w:rPr>
          <w:lang w:val="en-US"/>
        </w:rPr>
        <w:t>compliance over tim</w:t>
      </w:r>
      <w:r w:rsidR="00BD573F" w:rsidRPr="00B90724">
        <w:rPr>
          <w:lang w:val="en-US"/>
        </w:rPr>
        <w:t>e</w:t>
      </w:r>
      <w:r w:rsidR="00186AE5" w:rsidRPr="00B90724">
        <w:rPr>
          <w:lang w:val="en-US"/>
        </w:rPr>
        <w:t xml:space="preserve"> </w:t>
      </w:r>
      <w:r w:rsidR="00186AE5" w:rsidRPr="00B90724">
        <w:rPr>
          <w:lang w:val="en-US"/>
        </w:rPr>
        <w:fldChar w:fldCharType="begin"/>
      </w:r>
      <w:r w:rsidR="000E3931" w:rsidRPr="00B90724">
        <w:rPr>
          <w:lang w:val="en-US"/>
        </w:rPr>
        <w:instrText xml:space="preserve"> ADDIN ZOTERO_ITEM CSL_CITATION {"citationID":"6gwA7pbr","properties":{"formattedCitation":"[45]","plainCitation":"[45]","noteIndex":0},"citationItems":[{"id":182,"uris":["http://zotero.org/users/local/L5HAWlIW/items/463AFJSV"],"itemData":{"id":182,"type":"article-journal","abstract":"&lt;AbstractText Label=\"BACKGROUND\"&gt;Driving pressure (ΔP = Plateau pressure-PEEP) is highly correlated with postoperative pulmonary complications (PPCs) and appears to be a promising indicator for optimizing ventilator settings. We hypothesized that dynamic, individualized positive end-expiratory pressure (PEEP) guided by ΔP could reduce postoperative atelectasis and improve intraoperative oxygenation, respiratory mechanics, and reduce the incidence of PPCs on elderly patients undergoing laparoscopic surgery.&lt;/AbstractText&gt; &lt;AbstractText Label=\"METHODS\"&gt;Fifty-one elderly patients who were subject to laparoscopic surgery participated in this randomized trial. In the PEEP titration group (DV group), the PEEP titration was decremented to the lowest ΔP and repeated every 1 h. Additional procedures were also performed when performing predefined events that may be associated with lung collapse. In the constant PEEP group (PV group), a PEEP of 6 cmH&lt;sub&gt;2&lt;/sub&gt;O was used throughout the surgery. Moreover, zero PEEP was applied during the entire procedure in the conventional ventilation group (CV group). The primary objective of this study was lung ultrasound score noted at the end of surgery and 15 min after admission to the post-anesthesia care unit (PACU) at 12 lung areas bilaterally. The secondary endpoints were perioperative oxygenation function, expiratory mechanics, and the incidence of the PPCs.&lt;/AbstractText&gt; &lt;AbstractText Label=\"RESULTS\"&gt;The lung ultrasound scores of the DV group were significantly lower than those in the PV group and CV group (P &amp;lt; 0.05), whereas there was no significant difference between the PV group and CV group (P &amp;gt; 0.05). The lung static compliance (Cstat) and ΔP at all the intraoperative time points in the DV group were significantly better compared to the PV group and the CV group (p &amp;lt; 0.05).&lt;/AbstractText&gt; &lt;AbstractText Label=\"CONCLUSIONS\"&gt;Intraoperative titrated PEEP reduced postoperative lung atelectasis and improved respiratory mechanics in elderly patients undergoing laparoscopic surgery. Meanwhile, standard PEEP strategy is not superior to conventional ventilation in reducing postoperative pulmonary atelectasis in laparoscopic surgery.&lt;/AbstractText&gt; &lt;CopyrightInformation&gt;© 2022. The Author(s).&lt;/CopyrightInformation&gt;","container-title":"BMC anesthesiology","DOI":"10.1186/s12871-022-01613-9","issue":"1","note":"publisher: BioMed Central","page":"72-NA","title":"Effects of dynamic individualized PEEP guided by driving pressure in laparoscopic surgery on postoperative atelectasis in elderly patients: a prospective randomized controlled trial.","volume":"22","author":[{"family":"Xu","given":"Qi; Guo","suffix":"Xiao; Liu, Jiang; Li, Si-Xun; Ma, Hai-Rui; Wang, Fei-Xiang; Lin, Jing-Yan"}],"issued":{"date-parts":[["2022"]]}}}],"schema":"https://github.com/citation-style-language/schema/raw/master/csl-citation.json"} </w:instrText>
      </w:r>
      <w:r w:rsidR="00186AE5" w:rsidRPr="00B90724">
        <w:rPr>
          <w:lang w:val="en-US"/>
        </w:rPr>
        <w:fldChar w:fldCharType="separate"/>
      </w:r>
      <w:r w:rsidR="000E3931" w:rsidRPr="00B90724">
        <w:rPr>
          <w:rFonts w:cs="Times New Roman"/>
        </w:rPr>
        <w:t>[45]</w:t>
      </w:r>
      <w:r w:rsidR="00186AE5" w:rsidRPr="00B90724">
        <w:rPr>
          <w:lang w:val="en-US"/>
        </w:rPr>
        <w:fldChar w:fldCharType="end"/>
      </w:r>
      <w:r w:rsidR="00BD573F" w:rsidRPr="00B90724">
        <w:rPr>
          <w:lang w:val="en-US"/>
        </w:rPr>
        <w:t>.</w:t>
      </w:r>
    </w:p>
    <w:p w14:paraId="53AE4BB9" w14:textId="20A9EF56" w:rsidR="00801F3A" w:rsidRPr="00B90724" w:rsidRDefault="00801F3A" w:rsidP="00801F3A">
      <w:pPr>
        <w:rPr>
          <w:lang w:val="en-US"/>
        </w:rPr>
      </w:pPr>
      <w:r w:rsidRPr="00B90724">
        <w:rPr>
          <w:lang w:val="en-US"/>
        </w:rPr>
        <w:t xml:space="preserve">Excessive </w:t>
      </w:r>
      <w:proofErr w:type="spellStart"/>
      <w:r w:rsidRPr="00B90724">
        <w:rPr>
          <w:lang w:val="en-US"/>
        </w:rPr>
        <w:t>dP</w:t>
      </w:r>
      <w:proofErr w:type="spellEnd"/>
      <w:r w:rsidRPr="00B90724">
        <w:rPr>
          <w:lang w:val="en-US"/>
        </w:rPr>
        <w:t xml:space="preserve"> and high </w:t>
      </w:r>
      <w:proofErr w:type="spellStart"/>
      <w:r w:rsidR="00445EE6" w:rsidRPr="00B90724">
        <w:rPr>
          <w:lang w:val="en-US"/>
        </w:rPr>
        <w:t>Pplat</w:t>
      </w:r>
      <w:proofErr w:type="spellEnd"/>
      <w:r w:rsidRPr="00B90724">
        <w:rPr>
          <w:lang w:val="en-US"/>
        </w:rPr>
        <w:t xml:space="preserve"> are well-established contributors to ventilator-induced lung injury</w:t>
      </w:r>
      <w:r w:rsidR="00BD573F" w:rsidRPr="00B90724">
        <w:rPr>
          <w:lang w:val="en-US"/>
        </w:rPr>
        <w:t xml:space="preserve"> </w:t>
      </w:r>
      <w:r w:rsidR="00186AE5" w:rsidRPr="00B90724">
        <w:rPr>
          <w:lang w:val="en-US"/>
        </w:rPr>
        <w:fldChar w:fldCharType="begin"/>
      </w:r>
      <w:r w:rsidR="00A20273" w:rsidRPr="00B90724">
        <w:rPr>
          <w:lang w:val="en-US"/>
        </w:rPr>
        <w:instrText xml:space="preserve"> ADDIN ZOTERO_ITEM CSL_CITATION {"citationID":"gbGqX923","properties":{"formattedCitation":"[106]","plainCitation":"[106]","noteIndex":0},"citationItems":[{"id":39,"uris":["http://zotero.org/users/local/L5HAWlIW/items/9LP5PUTL"],"itemData":{"id":39,"type":"article-journal","container-title":"New England Journal of Medicine","DOI":"10.1056/NEJM199802053380602","ISSN":"0028-4793, 1533-4406","issue":"6","journalAbbreviation":"N Engl J Med","language":"en","note":"number: 6","page":"347-354","source":"DOI.org (Crossref)","title":"Effect of a Protective-Ventilation Strategy on Mortality in the Acute Respiratory Distress Syndrome","volume":"338","author":[{"family":"Amato","given":"Marcelo Britto Passos"},{"family":"Barbas","given":"Carmen Silvia Valente"},{"family":"Medeiros","given":"Denise Machado"},{"family":"Magaldi","given":"Ricardo Borges"},{"family":"Schettino","given":"Guilherme Paula"},{"family":"Lorenzi-Filho","given":"Geraldo"},{"family":"Kairalla","given":"Ronaldo Adib"},{"family":"Deheinzelin","given":"Daniel"},{"family":"Munoz","given":"Carlos"},{"family":"Oliveira","given":"Roselaine"},{"family":"Takagaki","given":"Teresa Yae"},{"family":"Carvalho","given":"Carlos Roberto Ribeiro"}],"issued":{"date-parts":[["1998",2,5]]}}}],"schema":"https://github.com/citation-style-language/schema/raw/master/csl-citation.json"} </w:instrText>
      </w:r>
      <w:r w:rsidR="00186AE5" w:rsidRPr="00B90724">
        <w:rPr>
          <w:lang w:val="en-US"/>
        </w:rPr>
        <w:fldChar w:fldCharType="separate"/>
      </w:r>
      <w:r w:rsidR="00A20273" w:rsidRPr="00B90724">
        <w:rPr>
          <w:rFonts w:cs="Times New Roman"/>
        </w:rPr>
        <w:t>[106]</w:t>
      </w:r>
      <w:r w:rsidR="00186AE5" w:rsidRPr="00B90724">
        <w:rPr>
          <w:lang w:val="en-US"/>
        </w:rPr>
        <w:fldChar w:fldCharType="end"/>
      </w:r>
      <w:r w:rsidR="00BD573F" w:rsidRPr="00B90724">
        <w:rPr>
          <w:lang w:val="en-US"/>
        </w:rPr>
        <w:t>.</w:t>
      </w:r>
      <w:r w:rsidRPr="00B90724">
        <w:rPr>
          <w:lang w:val="en-US"/>
        </w:rPr>
        <w:t xml:space="preserve"> It is therefore unsurprising that six studies in our review chose </w:t>
      </w:r>
      <w:proofErr w:type="spellStart"/>
      <w:r w:rsidRPr="00B90724">
        <w:rPr>
          <w:lang w:val="en-US"/>
        </w:rPr>
        <w:t>dP</w:t>
      </w:r>
      <w:proofErr w:type="spellEnd"/>
      <w:r w:rsidRPr="00B90724">
        <w:rPr>
          <w:lang w:val="en-US"/>
        </w:rPr>
        <w:t xml:space="preserve"> optimization as the preferred method for determining</w:t>
      </w:r>
      <w:r w:rsidR="00186AE5" w:rsidRPr="00B90724">
        <w:rPr>
          <w:lang w:val="en-US"/>
        </w:rPr>
        <w:t xml:space="preserve"> optimal PEEP</w:t>
      </w:r>
      <w:r w:rsidR="00BD573F" w:rsidRPr="00B90724">
        <w:rPr>
          <w:lang w:val="en-US"/>
        </w:rPr>
        <w:t xml:space="preserve"> </w:t>
      </w:r>
      <w:r w:rsidR="00186AE5" w:rsidRPr="00B90724">
        <w:rPr>
          <w:lang w:val="en-US"/>
        </w:rPr>
        <w:fldChar w:fldCharType="begin"/>
      </w:r>
      <w:r w:rsidR="000E3931" w:rsidRPr="00B90724">
        <w:rPr>
          <w:lang w:val="en-US"/>
        </w:rPr>
        <w:instrText xml:space="preserve"> ADDIN ZOTERO_ITEM CSL_CITATION {"citationID":"75QB2vc4","properties":{"formattedCitation":"[45,52,57,63\\uc0\\u8211{}65]","plainCitation":"[45,52,57,63–65]","noteIndex":0},"citationItems":[{"id":182,"uris":["http://zotero.org/users/local/L5HAWlIW/items/463AFJSV"],"itemData":{"id":182,"type":"article-journal","abstract":"&lt;AbstractText Label=\"BACKGROUND\"&gt;Driving pressure (ΔP = Plateau pressure-PEEP) is highly correlated with postoperative pulmonary complications (PPCs) and appears to be a promising indicator for optimizing ventilator settings. We hypothesized that dynamic, individualized positive end-expiratory pressure (PEEP) guided by ΔP could reduce postoperative atelectasis and improve intraoperative oxygenation, respiratory mechanics, and reduce the incidence of PPCs on elderly patients undergoing laparoscopic surgery.&lt;/AbstractText&gt; &lt;AbstractText Label=\"METHODS\"&gt;Fifty-one elderly patients who were subject to laparoscopic surgery participated in this randomized trial. In the PEEP titration group (DV group), the PEEP titration was decremented to the lowest ΔP and repeated every 1 h. Additional procedures were also performed when performing predefined events that may be associated with lung collapse. In the constant PEEP group (PV group), a PEEP of 6 cmH&lt;sub&gt;2&lt;/sub&gt;O was used throughout the surgery. Moreover, zero PEEP was applied during the entire procedure in the conventional ventilation group (CV group). The primary objective of this study was lung ultrasound score noted at the end of surgery and 15 min after admission to the post-anesthesia care unit (PACU) at 12 lung areas bilaterally. The secondary endpoints were perioperative oxygenation function, expiratory mechanics, and the incidence of the PPCs.&lt;/AbstractText&gt; &lt;AbstractText Label=\"RESULTS\"&gt;The lung ultrasound scores of the DV group were significantly lower than those in the PV group and CV group (P &amp;lt; 0.05), whereas there was no significant difference between the PV group and CV group (P &amp;gt; 0.05). The lung static compliance (Cstat) and ΔP at all the intraoperative time points in the DV group were significantly better compared to the PV group and the CV group (p &amp;lt; 0.05).&lt;/AbstractText&gt; &lt;AbstractText Label=\"CONCLUSIONS\"&gt;Intraoperative titrated PEEP reduced postoperative lung atelectasis and improved respiratory mechanics in elderly patients undergoing laparoscopic surgery. Meanwhile, standard PEEP strategy is not superior to conventional ventilation in reducing postoperative pulmonary atelectasis in laparoscopic surgery.&lt;/AbstractText&gt; &lt;CopyrightInformation&gt;© 2022. The Author(s).&lt;/CopyrightInformation&gt;","container-title":"BMC anesthesiology","DOI":"10.1186/s12871-022-01613-9","issue":"1","note":"publisher: BioMed Central","page":"72-NA","title":"Effects of dynamic individualized PEEP guided by driving pressure in laparoscopic surgery on postoperative atelectasis in elderly patients: a prospective randomized controlled trial.","volume":"22","author":[{"family":"Xu","given":"Qi; Guo","suffix":"Xiao; Liu, Jiang; Li, Si-Xun; Ma, Hai-Rui; Wang, Fei-Xiang; Lin, Jing-Yan"}],"issued":{"date-parts":[["2022"]]}}},{"id":1570,"uris":["http://zotero.org/users/local/L5HAWlIW/items/V3SBX9HI"],"itemData":{"id":1570,"type":"article-journal","container-title":"British Journal of Anaesthesia","DOI":"10.1016/j.bja.2023.08.007","ISSN":"00070912","issue":"5","journalAbbreviation":"British Journal of Anaesthesia","language":"en","page":"955-965","source":"DOI.org (Crossref)","title":"Effect of driving pressure-guided positive end-expiratory pressure on postoperative pulmonary complications in patients undergoing laparoscopic or robotic surgery: a randomised controlled trial","title-short":"Effect of driving pressure-guided positive end-expiratory pressure on postoperative pulmonary complications in patients undergoing laparoscopic or robotic surgery","volume":"131","author":[{"family":"Kim","given":"Yoon Jung"},{"family":"Kim","given":"Bo Rim"},{"family":"Kim","given":"Hee Won"},{"family":"Jung","given":"Ji-Yoon"},{"family":"Cho","given":"Hye-Yeon"},{"family":"Seo","given":"Jeoung-Hwa"},{"family":"Kim","given":"Won Ho"},{"family":"Kim","given":"Hee-Soo"},{"family":"Hwangbo","given":"Suhyun"},{"family":"Yoon","given":"Hyun-Kyu"}],"issued":{"date-parts":[["2023",11]]}}},{"id":22,"uris":["http://zotero.org/users/local/L5HAWlIW/items/J95XU98Y"],"itemData":{"id":22,"type":"article-journal","container-title":"Surgery","DOI":"10.1016/j.surg.2021.01.047","ISSN":"00396060","issue":"1","journalAbbreviation":"Surgery","language":"en","note":"number: 1","page":"277-283","source":"DOI.org (Crossref)","title":"Effect of driving pressure-guided positive end-expiratory pressure (PEEP) titration on postoperative lung atelectasis in adult patients undergoing elective major abdominal surgery: A randomized controlled trial","title-short":"Effect of driving pressure-guided positive end-expiratory pressure (PEEP) titration on postoperative lung atelectasis in adult patients undergoing elective major abdominal surgery","volume":"170","author":[{"family":"Mini","given":"Gouri"},{"family":"Ray","given":"Bikash R."},{"family":"Anand","given":"Rahul K."},{"family":"Muthiah","given":"Thilaka"},{"family":"Baidya","given":"Dalim K."},{"family":"Rewari","given":"Vimi"},{"family":"Sahni","given":"Peush"},{"family":"Maitra","given":"Souvik"}],"issued":{"date-parts":[["2021",7]]}}},{"id":1558,"uris":["http://zotero.org/users/local/L5HAWlIW/items/QIKG7S9M"],"itemData":{"id":1558,"type":"article-journal","container-title":"Diabetes, Metabolic Syndrome and Obesity","DOI":"10.2147/DMSO.S405804","ISSN":"1178-7007","journalAbbreviation":"DMSO","language":"en","license":"https://creativecommons.org/licenses/by-nc/3.0/","page":"1515-1523","source":"DOI.org (Crossref)","title":"Driving Pressure-Guided Ventilation in Obese Patients Undergoing Laparoscopic Sleeve Gastrectomy: A Randomized Controlled Trial","title-short":"Driving Pressure-Guided Ventilation in Obese Patients Undergoing Laparoscopic Sleeve Gastrectomy","volume":"Volume 16","author":[{"family":"Yang","given":"Guanyu"},{"family":"Zhang","given":"Pin"},{"family":"Li","given":"Liumei"},{"family":"Wang","given":"Jingjing"},{"family":"Jiao","given":"Pengfei"},{"family":"Wang","given":"Jie"},{"family":"Chu","given":"Qinjun"}],"issued":{"date-parts":[["2023",5]]}}},{"id":157,"uris":["http://zotero.org/users/local/L5HAWlIW/items/9I65CFBK"],"itemData":{"id":157,"type":"article-journal","abstract":"Background The optimal positive end-expiratory pressure (PEEP) to prevent postoperative pulmonary complications (PPCs) remains unclear. Recent evidence showed that driving pressure was closely related to PPCs. In this study, we tested the hypothesis that an individualized PEEP guided by minimum driving pressure during abdominal surgery would reduce the incidence of PPCs. Methods This single-centered, randomized controlled trial included a total of 148 patients scheduled for open upper abdominal surgery. Patients were randomly assigned to receive an individualized PEEP guided by minimum driving pressure or an empiric fixed PEEP of 6 cm H2O. The primary outcome was the incidence of clinically significant PPCs within the first 7 days after surgery, using a χ2 test. Secondary outcomes were the severity of PPCs, the area of atelectasis, and pleural effusion. Other outcomes, such as the incidence of different types of PPCs (including hypoxemia, atelectasis, pleural effusion, dyspnea, pneumonia, pneumothorax, and acute respiratory distress syndrome), intensive care unit (ICU) admission rate, length of hospital stay, and 30-day mortality were also explored. Results The median value of PEEP in the individualized group was 10 cm H2O. The incidence of clinically significant PPCs was significantly lower in the individualized PEEP group compared with that in the fixed PEEP group (26 of 67 [38.8%] vs 42 of 67 [62.7%], relative risk = 0.619, 95% confidence intervals, 0.435-0.881; P = .006). The overall severity of PPCs and the area of atelectasis were also significantly diminished in the individualized PEEP group. Higher respiratory compliance during surgery and improved intra- and postoperative oxygenation was observed in the individualized group. No significant differences were found in other outcomes between the 2 groups, such as ICU admission rate or 30-day mortality. Conclusions The application of individualized PEEP based on minimum driving pressure may effectively decrease the severity of atelectasis, improve oxygenation, and reduce the incidence of clinically significant PPCs after open upper abdominal surgery.","container-title":"Anesthesia and analgesia","DOI":"10.1213/ane.0000000000005575","issue":"5","note":"publisher: Lippincott Williams and Wilkins","page":"1197-1205","title":"Driving Pressure-Guided Individualized Positive End-Expiratory Pressure in Abdominal Surgery: A Randomized Controlled Trial.","volume":"133","author":[{"family":"Zhang","given":"Chengmi; Xu","suffix":"Fengying; Li, Weiwei; Tong, Xingyu; Xia, Ran; Wang, Wei; Du, Jianer; Shi, Xueyin"}],"issued":{"date-parts":[["2021"]]}}},{"id":1556,"uris":["http://zotero.org/users/local/L5HAWlIW/items/BRUJD782"],"itemData":{"id":1556,"type":"article-journal","abstract":"Abstract\n            \n              To investigate whether driving pressure–guided ventilation could contribute to a more homogeneous distribution in the lung for gynecological laparoscopy. Chinese patients were randomized, after pneumoperitoneum, to receive either positive end expiratory pressure (PEEP) of 5 cm H\n              2\n              O (control group), or individualized PEEP producing the lowest driving pressure (titration group). Ventilation homogeneity is quantified as the global inhomogeneity (GI) index based on electrical impedance tomography, with a lower index implying more homogeneous ventilation. The perioperative arterial oxygenation index and respiratory system mechanics were also recorded. Blood samples were collected for lung injury biomarkers including interleukin-10, neutrophil elastase, and Clara Cell protein-16. A total of 48 patients were included for analysis. We observed a significant increase in the GI index immediately after tracheal extubation compared to preinduction in the control group (\n              p\n               = 0.040) but not in the titration group (\n              p\n               = 0.279). Furthermore, the GI index was obviously lower in the titration group than in the control group [0.390 (0.066) vs 0.460 (0.074),\n              p\n               = 0.0012]. The oxygenation index and respiratory compliance were significantly higher in the titration group than in the control group. No significant differences in biomarkers or hemodynamics were detected between the two groups. Driving pressure–guided PEEP led to more homogeneous ventilation, as well as improved gas exchange and respiratory compliance for patients undergoing gynecological laparoscopy.\n            \n            \n              Trial Registration\n              : ClinicalTrials.gov NCT04374162; first registration on 05/05/2020.","container-title":"Scientific Reports","DOI":"10.1038/s41598-022-26144-8","ISSN":"2045-2322","issue":"1","journalAbbreviation":"Sci Rep","language":"en","page":"21687","source":"DOI.org (Crossref)","title":"Driving pressure-guided ventilation improves homogeneity in lung gas distribution for gynecological laparoscopy: a randomized controlled trial","title-short":"Driving pressure-guided ventilation improves homogeneity in lung gas distribution for gynecological laparoscopy","volume":"12","author":[{"family":"Zhang","given":"Wei"},{"family":"Liu","given":"Feifei"},{"family":"Zhao","given":"Zhanqi"},{"family":"Shao","given":"Chunqing"},{"family":"Xu","given":"Xin"},{"family":"Ma","given":"Jiajia"},{"family":"Han","given":"Ruquan"}],"issued":{"date-parts":[["2022",12,15]]}}}],"schema":"https://github.com/citation-style-language/schema/raw/master/csl-citation.json"} </w:instrText>
      </w:r>
      <w:r w:rsidR="00186AE5" w:rsidRPr="00B90724">
        <w:rPr>
          <w:lang w:val="en-US"/>
        </w:rPr>
        <w:fldChar w:fldCharType="separate"/>
      </w:r>
      <w:r w:rsidR="000E3931" w:rsidRPr="00B90724">
        <w:rPr>
          <w:rFonts w:cs="Times New Roman"/>
          <w:kern w:val="0"/>
        </w:rPr>
        <w:t>[45,52,57,63–65]</w:t>
      </w:r>
      <w:r w:rsidR="00186AE5" w:rsidRPr="00B90724">
        <w:rPr>
          <w:lang w:val="en-US"/>
        </w:rPr>
        <w:fldChar w:fldCharType="end"/>
      </w:r>
      <w:r w:rsidR="00BD573F" w:rsidRPr="00B90724">
        <w:rPr>
          <w:lang w:val="en-US"/>
        </w:rPr>
        <w:t>.</w:t>
      </w:r>
      <w:r w:rsidRPr="00B90724">
        <w:rPr>
          <w:lang w:val="en-US"/>
        </w:rPr>
        <w:t xml:space="preserve"> In one earlier investigation involving obese patients, a secondary analysis compared three PEEP settings: individualized, a fixed 12 cm H₂O, and a fixed 4–5 cm H₂O. The lowest average intraoperative </w:t>
      </w:r>
      <w:proofErr w:type="spellStart"/>
      <w:r w:rsidRPr="00B90724">
        <w:rPr>
          <w:lang w:val="en-US"/>
        </w:rPr>
        <w:t>dP</w:t>
      </w:r>
      <w:proofErr w:type="spellEnd"/>
      <w:r w:rsidRPr="00B90724">
        <w:rPr>
          <w:lang w:val="en-US"/>
        </w:rPr>
        <w:t xml:space="preserve"> was observed in the individualized group (9.8 cm H₂O vs. 14.4 cm H₂O and 18.8 cm H₂O; p &lt; 0.001), suggesting that individualization may be more beneficial than simply increasing PEEP</w:t>
      </w:r>
      <w:r w:rsidR="00BD573F" w:rsidRPr="00B90724">
        <w:rPr>
          <w:lang w:val="en-US"/>
        </w:rPr>
        <w:t xml:space="preserve"> </w:t>
      </w:r>
      <w:r w:rsidR="00B9029A" w:rsidRPr="00B90724">
        <w:rPr>
          <w:lang w:val="en-US"/>
        </w:rPr>
        <w:fldChar w:fldCharType="begin"/>
      </w:r>
      <w:r w:rsidR="00A20273" w:rsidRPr="00B90724">
        <w:rPr>
          <w:lang w:val="en-US"/>
        </w:rPr>
        <w:instrText xml:space="preserve"> ADDIN ZOTERO_ITEM CSL_CITATION {"citationID":"KNt0gZyg","properties":{"formattedCitation":"[103]","plainCitation":"[103]","noteIndex":0},"citationItems":[{"id":1641,"uris":["http://zotero.org/users/local/L5HAWlIW/items/DFKIYWBS"],"itemData":{"id":1641,"type":"article-journal","abstract":"BACKGROUND: General anesthesia may cause atelectasis and deterioration in oxygenation in obese patients. The authors hypothesized that individualized positive end‐expiratory pressure (PEEP) improves intraoperative oxygenation and ventilation distribution compared to fixed PEEP. METHODS: This secondary analysis included all obese patients recruited at University Hospital of Leipzig from the multicenter Protective Intraoperative Ventilation with Higher versus Lower Levels of Positive End‐Expiratory Pressure in Obese Patients (PROBESE) trial (n = 42) and likewise all obese patients from a local single‐center trial (n = 54). Inclusion criteria for both trials were elective laparoscopic abdominal surgery, body mass index greater than or equal to 35 kg/m2, and Assess Respiratory Risk in Surgical Patients in Catalonia (ARISCAT) score greater than or equal to 26. Patients were randomized to PEEP of 4 cm H2O (n = 19) or a recruitment maneuver followed by PEEP of 12 cm H2O (n = 21) in the PROBESE study. In the single‐center study, they were randomized to PEEP of 5 cm H2O (n = 25) or a recruitment maneuver followed by individualized PEEP (n = 25) determined by electrical impedance tomography. Primary endpoint was Pao2/inspiratory oxygen fraction before extubation and secondary endpoints included intraoperative tidal volume distribution to dependent lung and driving pressure. RESULTS: Ninety patients were evaluated in three groups after combining the two lower PEEP groups. Median individualized PEEP was 18 (interquartile range, 16 to 22; range, 10 to 26) cm H2O. Pao2/inspiratory oxygen fraction before extubation was 515 (individual PEEP), 370 (fixed PEEP of 12 cm H2O), and 305 (fixed PEEP of 4 to 5 cm H2O) mmHg (difference to individualized PEEP, 145; 95% CI, 91 to 200; P &lt; 0.001 for fixed PEEP of 12 cm H2O and 210; 95% CI, 164 to 257; P &lt; 0.001 for fixed PEEP of 4 to 5 cm H2O). Intraoperative tidal volume in the dependent lung areas was 43.9% (individualized PEEP), 25.9% (fixed PEEP of 12 cm H2O) and 26.8% (fixed PEEP of 4 to 5 cm H2O) (difference to individualized PEEP: 18.0%; 95% CI, 8.0 to 20.7; P &lt; 0.001 for fixed PEEP of 12 cm H2O and 17.1%; 95% CI, 10.0 to 20.6; P &lt; 0.001 for fixed PEEP of 4 to 5 cm H2O). Mean intraoperative driving pressure was 9.8 cm H2O (individualized PEEP), 14.4 cm H2O (fixed PEEP of 12 cm H2O), and 18.8 cm H2O (fixed PEEP of 4 to 5 cm H2O), P &lt; 0.001. CONCLUSIONS: This secondary analysis of obese patients undergoing laparoscopic surgery found better oxygenation, lower driving pressures, and redistribution of ventilation toward dependent lung areas measured by electrical impedance tomography using individualized PEEP. The impact on patient outcome remains unclear.","archive_location":"CN-02263520","container-title":"Anesthesiology","DOI":"10.1097/ALN.0000000000003762","issue":"6","journalAbbreviation":"Anesthesiology","page":"887‐900","title":"Individualized versus Fixed Positive End-expiratory Pressure for Intraoperative Mechanical Ventilation in Obese Patients: a Secondary Analysis","volume":"134","author":[{"family":"Simon","given":"P"},{"family":"Girrbach","given":"F"},{"family":"Petroff","given":"D"},{"family":"Schliewe","given":"N"},{"family":"Hempel","given":"G"},{"family":"Lange","given":"M"},{"family":"Bluth","given":"T"},{"family":"Gama de Abreu","given":"M"},{"family":"Beda","given":"A"},{"family":"Schultz","given":"MJ"},{"literal":"et al."}],"issued":{"date-parts":[["2021"]]}}}],"schema":"https://github.com/citation-style-language/schema/raw/master/csl-citation.json"} </w:instrText>
      </w:r>
      <w:r w:rsidR="00B9029A" w:rsidRPr="00B90724">
        <w:rPr>
          <w:lang w:val="en-US"/>
        </w:rPr>
        <w:fldChar w:fldCharType="separate"/>
      </w:r>
      <w:r w:rsidR="00A20273" w:rsidRPr="00B90724">
        <w:rPr>
          <w:rFonts w:cs="Times New Roman"/>
        </w:rPr>
        <w:t>[103]</w:t>
      </w:r>
      <w:r w:rsidR="00B9029A" w:rsidRPr="00B90724">
        <w:rPr>
          <w:lang w:val="en-US"/>
        </w:rPr>
        <w:fldChar w:fldCharType="end"/>
      </w:r>
      <w:r w:rsidR="00BD573F" w:rsidRPr="00B90724">
        <w:rPr>
          <w:lang w:val="en-US"/>
        </w:rPr>
        <w:t>.</w:t>
      </w:r>
    </w:p>
    <w:p w14:paraId="1509DC8C" w14:textId="2048B12E" w:rsidR="004F3558" w:rsidRPr="00B90724" w:rsidRDefault="00801F3A" w:rsidP="00801F3A">
      <w:pPr>
        <w:rPr>
          <w:lang w:val="en-US"/>
        </w:rPr>
      </w:pPr>
      <w:r w:rsidRPr="00B90724">
        <w:rPr>
          <w:lang w:val="en-US"/>
        </w:rPr>
        <w:t>Although previous studies have supported the use of repeated</w:t>
      </w:r>
      <w:r w:rsidR="00FD41CF" w:rsidRPr="00B90724">
        <w:rPr>
          <w:lang w:val="en-US"/>
        </w:rPr>
        <w:t xml:space="preserve"> ARMs</w:t>
      </w:r>
      <w:r w:rsidR="00457117" w:rsidRPr="00B90724">
        <w:rPr>
          <w:lang w:val="en-US"/>
        </w:rPr>
        <w:t xml:space="preserve"> </w:t>
      </w:r>
      <w:r w:rsidRPr="00B90724">
        <w:rPr>
          <w:lang w:val="en-US"/>
        </w:rPr>
        <w:t xml:space="preserve">as part of lung-protective ventilation during general anesthesia, our analysis did not show improved </w:t>
      </w:r>
      <w:r w:rsidRPr="00B90724">
        <w:rPr>
          <w:lang w:val="en-US"/>
        </w:rPr>
        <w:lastRenderedPageBreak/>
        <w:t>outcomes in studies that routinely or intermittently used ARMs compared to those that did no</w:t>
      </w:r>
      <w:r w:rsidR="00BD573F" w:rsidRPr="00B90724">
        <w:rPr>
          <w:lang w:val="en-US"/>
        </w:rPr>
        <w:t xml:space="preserve">t </w:t>
      </w:r>
      <w:r w:rsidR="00B9029A" w:rsidRPr="00B90724">
        <w:rPr>
          <w:lang w:val="en-US"/>
        </w:rPr>
        <w:fldChar w:fldCharType="begin"/>
      </w:r>
      <w:r w:rsidR="00A20273" w:rsidRPr="00B90724">
        <w:rPr>
          <w:lang w:val="en-US"/>
        </w:rPr>
        <w:instrText xml:space="preserve"> ADDIN ZOTERO_ITEM CSL_CITATION {"citationID":"ZiF7S1ir","properties":{"formattedCitation":"[6,107\\uc0\\u8211{}110]","plainCitation":"[6,107–110]","noteIndex":0},"citationItems":[{"id":167,"uris":["http://zotero.org/users/local/L5HAWlIW/items/53VQRNW3"],"itemData":{"id":167,"type":"article-journal","abstract":"Applying lung protective mechanical ventilation (LPV) during general anaesthesia even in patients with non-injured lungs is recommended. However, the effects of an individual PEEP-optimisation on respiratory mechanics, oxygenation and their potential correlation with the inflammatory response and postoperative complications have not been evaluated have not been compared to standard LPV in patients undergoing major abdominal surgery. Thirty-nine patients undergoing open radical cystectomy were enrolled in this study. In the study group (SG) optimal PEEP was determined by a decremental titration procedure and defined as the PEEP value resulting the highest static pulmonary compliance. In the control group (CG) PEEP was set to 6 cmH2O. Primary endpoints were intraoperative respiratory mechanics and gas exchange parameters. Secondary outcomes were perioperative procalcitonin kinetics and postoperative pulmonary complications. Optimal PEEP levels (median = 10, range: 8–14 cmH2O), PaO2/FiO2 (451.24 ± 121.78 mmHg vs. 404.15 ± 115.87 mmHg, P = 0.005) and static pulmonary compliance (52.54 ± 13.59 ml cmH2O-1 vs. 45.22 ± 9.13 ml cmH2O-1, P &lt; 0.0001) were significantly higher, while driving pressure (8.26 ± 1.74 cmH2O vs. 9.73 ± 4.02 cmH2O, P &lt; 0.0001) was significantly lower in the SG as compared to the CG. No significant intergroup differences were found in procalcitonin kinetics (P = 0.076). Composite outcome results indicated a non-significant reduction of postoperative complications in the SG. Intraoperative PEEP-optimization resulted in significant improvement in gas exchange and pulmonary mechanics as compared to standard LPV. Whether these have any effect on short and long term outcomes require further investigations. Trial registration: Clinicaltrials.gov, identifier: NCT02931409.","container-title":"Journal of clinical monitoring and computing","DOI":"10.1007/s10877-020-00519-6","issue":"3","note":"publisher: Springer Netherlands","page":"469-482","title":"Effects of intraoperative positive end-expiratory pressure optimization on respiratory mechanics and the inflammatory response: a randomized controlled trial","volume":"35","author":[{"family":"Ruszkai","given":"Zoltán; Kiss","suffix":"Erika; László, Ildikó; Bokrétás, Gergely Péter; Vizserálek, Dóra; Vámossy, Ildikó; Surány, Erika; Buzogány, István; Bajory, Zoltán; Molnár, Zsolt"}],"issued":{"date-parts":[["2020"]]}}},{"id":57,"uris":["http://zotero.org/users/local/L5HAWlIW/items/BWJVB532"],"itemData":{"id":57,"type":"article-journal","container-title":"New England Journal of Medicine","DOI":"10.1056/NEJMoa1301082","ISSN":"0028-4793, 1533-4406","issue":"5","journalAbbreviation":"N Engl J Med","language":"en","note":"number: 5","page":"428-437","source":"DOI.org (Crossref)","title":"A Trial of Intraoperative Low-Tidal-Volume Ventilation in Abdominal Surgery","volume":"369","author":[{"family":"Futier","given":"Emmanuel"},{"family":"Constantin","given":"Jean-Michel"},{"family":"Paugam-Burtz","given":"Catherine"},{"family":"Pascal","given":"Julien"},{"family":"Eurin","given":"Mathilde"},{"family":"Neuschwander","given":"Arthur"},{"family":"Marret","given":"Emmanuel"},{"family":"Beaussier","given":"Marc"},{"family":"Gutton","given":"Christophe"},{"family":"Lefrant","given":"Jean-Yves"},{"family":"Allaouchiche","given":"Bernard"},{"family":"Verzilli","given":"Daniel"},{"family":"Leone","given":"Marc"},{"family":"De Jong","given":"Audrey"},{"family":"Bazin","given":"Jean-Etienne"},{"family":"Pereira","given":"Bruno"},{"family":"Jaber","given":"Samir"}],"issued":{"date-parts":[["2013",8]]}}},{"id":58,"uris":["http://zotero.org/users/local/L5HAWlIW/items/PYWGFU3F"],"itemData":{"id":58,"type":"article-journal","container-title":"Anesthesia &amp; Analgesia","DOI":"10.1213/01.ane.0000183655.57275.7a","ISSN":"0003-2999","issue":"1","language":"en","note":"number: 1","page":"298-305","source":"DOI.org (Crossref)","title":"The Effects of the Alveolar Recruitment Maneuver and Positive End-Expiratory Pressure on Arterial Oxygenation During Laparoscopic Bariatric Surgery","volume":"102","author":[{"family":"Whalen","given":"Francis X."},{"family":"Gajic","given":"Ognjen"},{"family":"Thompson","given":"Geoffrey B."},{"family":"Kendrick","given":"Michael L."},{"family":"Que","given":"Florencia L."},{"family":"Williams","given":"Brent A."},{"family":"Joyner","given":"Michael J."},{"family":"Hubmayr","given":"Rolf D."},{"family":"Warner","given":"David O."},{"family":"Sprung","given":"Juraj"}],"issued":{"date-parts":[["2006",1]]}}},{"id":59,"uris":["http://zotero.org/users/local/L5HAWlIW/items/TLHVC79K"],"itemData":{"id":59,"type":"article-journal","container-title":"Journal of Anesthesia &amp; Clinical Research","DOI":"10.4172/2155-6148.1000235","ISSN":"21556148","issue":"08","journalAbbreviation":"J Anesthe Clinic Res","note":"number: 08","source":"DOI.org (Crossref)","title":"Anesthesia Providers’ Knowledge and Use of Alveolar Recruitment Maneuvers","URL":"https://www.omicsonline.org/anesthesia-providers-knowledge-and-use-of-alveolar-recruitment-maneuvers-2155-6148.1000235.php?aid=8332","volume":"03","author":[{"family":"Talley","given":"Henry Clinton"}],"accessed":{"date-parts":[["2022",7,20]]},"issued":{"date-parts":[["2012"]]}}},{"id":60,"uris":["http://zotero.org/users/local/L5HAWlIW/items/625IDBDC"],"itemData":{"id":60,"type":"article-journal","container-title":"Respiratory Care","DOI":"10.4187/respcare.04409","ISSN":"0020-1324, 1943-3654","issue":"11","journalAbbreviation":"Respiratory Care","language":"en","note":"number: 11","page":"1688-1704","source":"DOI.org (Crossref)","title":"Recruitment Maneuvers and PEEP Titration","volume":"60","author":[{"family":"Hess","given":"D. R."}],"issued":{"date-parts":[["2015",11,1]]}}}],"schema":"https://github.com/citation-style-language/schema/raw/master/csl-citation.json"} </w:instrText>
      </w:r>
      <w:r w:rsidR="00B9029A" w:rsidRPr="00B90724">
        <w:rPr>
          <w:lang w:val="en-US"/>
        </w:rPr>
        <w:fldChar w:fldCharType="separate"/>
      </w:r>
      <w:r w:rsidR="00A20273" w:rsidRPr="00B90724">
        <w:rPr>
          <w:rFonts w:cs="Times New Roman"/>
          <w:kern w:val="0"/>
        </w:rPr>
        <w:t>[6,107–110]</w:t>
      </w:r>
      <w:r w:rsidR="00B9029A" w:rsidRPr="00B90724">
        <w:rPr>
          <w:lang w:val="en-US"/>
        </w:rPr>
        <w:fldChar w:fldCharType="end"/>
      </w:r>
      <w:r w:rsidR="00BD573F" w:rsidRPr="00B90724">
        <w:rPr>
          <w:lang w:val="en-US"/>
        </w:rPr>
        <w:t>.</w:t>
      </w:r>
    </w:p>
    <w:p w14:paraId="50B5382F" w14:textId="43E670DB" w:rsidR="00027321" w:rsidRPr="00B90724" w:rsidRDefault="00027321" w:rsidP="000D47A5">
      <w:pPr>
        <w:pStyle w:val="Heading3"/>
        <w:rPr>
          <w:szCs w:val="24"/>
          <w:lang w:val="en-US"/>
        </w:rPr>
      </w:pPr>
      <w:bookmarkStart w:id="93" w:name="_Toc211542221"/>
      <w:r w:rsidRPr="00B90724">
        <w:rPr>
          <w:szCs w:val="24"/>
          <w:lang w:val="en-US"/>
        </w:rPr>
        <w:t>9.1.</w:t>
      </w:r>
      <w:r w:rsidR="009F6DD3" w:rsidRPr="00B90724">
        <w:rPr>
          <w:szCs w:val="24"/>
          <w:lang w:val="en-US"/>
        </w:rPr>
        <w:t>5</w:t>
      </w:r>
      <w:r w:rsidRPr="00B90724">
        <w:rPr>
          <w:szCs w:val="24"/>
          <w:lang w:val="en-US"/>
        </w:rPr>
        <w:t>.</w:t>
      </w:r>
      <w:r w:rsidR="003653A8" w:rsidRPr="00B90724">
        <w:rPr>
          <w:szCs w:val="24"/>
          <w:lang w:val="en-US"/>
        </w:rPr>
        <w:t xml:space="preserve"> Other Secondary Outcomes</w:t>
      </w:r>
      <w:bookmarkEnd w:id="93"/>
    </w:p>
    <w:p w14:paraId="57AE4EF4" w14:textId="0EAF1F33" w:rsidR="00BF69C6" w:rsidRPr="00B90724" w:rsidRDefault="006B6E1B" w:rsidP="006B6E1B">
      <w:pPr>
        <w:rPr>
          <w:lang w:val="en-US"/>
        </w:rPr>
      </w:pPr>
      <w:r w:rsidRPr="00B90724">
        <w:rPr>
          <w:lang w:val="en-US"/>
        </w:rPr>
        <w:t>The duration of anesthesia did not significantly differ between the groups. While the length of surgery was statistically longer in the SG, the difference was under five minutes, raising doubts about its clinical significance. These results imply that the intervention does not add a meaningful time burden.</w:t>
      </w:r>
      <w:r w:rsidR="00BF69C6" w:rsidRPr="00B90724">
        <w:rPr>
          <w:lang w:val="en-US"/>
        </w:rPr>
        <w:t xml:space="preserve"> </w:t>
      </w:r>
    </w:p>
    <w:p w14:paraId="2DC6FBB3" w14:textId="4263A1D0" w:rsidR="006B6E1B" w:rsidRPr="00B90724" w:rsidRDefault="006B6E1B" w:rsidP="006B6E1B">
      <w:pPr>
        <w:rPr>
          <w:lang w:val="en-US"/>
        </w:rPr>
      </w:pPr>
      <w:r w:rsidRPr="00B90724">
        <w:rPr>
          <w:lang w:val="en-US"/>
        </w:rPr>
        <w:t>We found no significant differences in hospital or ICU length of stay, indicating that individualized PEEP appears to have no measurable impact on these outcomes.</w:t>
      </w:r>
      <w:r w:rsidR="00BF69C6" w:rsidRPr="00B90724">
        <w:rPr>
          <w:lang w:val="en-US"/>
        </w:rPr>
        <w:t xml:space="preserve"> </w:t>
      </w:r>
      <w:r w:rsidR="0006456A" w:rsidRPr="00B90724">
        <w:rPr>
          <w:lang w:val="en-US"/>
        </w:rPr>
        <w:t xml:space="preserve">This may be attributed to the fact that most PPCs in elective surgical populations are recognized early and are generally </w:t>
      </w:r>
      <w:r w:rsidR="003E5830" w:rsidRPr="00B90724">
        <w:rPr>
          <w:lang w:val="en-US"/>
        </w:rPr>
        <w:t>mild</w:t>
      </w:r>
      <w:r w:rsidR="0006456A" w:rsidRPr="00B90724">
        <w:rPr>
          <w:lang w:val="en-US"/>
        </w:rPr>
        <w:t xml:space="preserve"> diseases,</w:t>
      </w:r>
      <w:r w:rsidR="003E5830" w:rsidRPr="00B90724">
        <w:rPr>
          <w:lang w:val="en-US"/>
        </w:rPr>
        <w:t xml:space="preserve"> that can be treated with supportive care</w:t>
      </w:r>
      <w:r w:rsidR="00892C94" w:rsidRPr="00B90724">
        <w:rPr>
          <w:lang w:val="en-US"/>
        </w:rPr>
        <w:t xml:space="preserve">. However, frail or comorbid patients may be more vulnerable to even mild complications, experiencing greater physiological stress, prolonged recovery, or functional decline. </w:t>
      </w:r>
      <w:r w:rsidR="00647CD6" w:rsidRPr="00B90724">
        <w:rPr>
          <w:lang w:val="en-US"/>
        </w:rPr>
        <w:t xml:space="preserve"> </w:t>
      </w:r>
      <w:r w:rsidR="00892C94" w:rsidRPr="00B90724">
        <w:rPr>
          <w:lang w:val="en-US"/>
        </w:rPr>
        <w:t>Also</w:t>
      </w:r>
      <w:r w:rsidR="0006456A" w:rsidRPr="00B90724">
        <w:rPr>
          <w:lang w:val="en-US"/>
        </w:rPr>
        <w:t>, these complications often require increased monitoring, higher staff workload, and additional pharmacologic interventions, all of which contribute to elevated healthcare resource utilization and cost. Thus, while length of stay and mortality may remain unchanged, the burden on healthcare systems should not be underestimated.</w:t>
      </w:r>
    </w:p>
    <w:p w14:paraId="0845EB48" w14:textId="07436F46" w:rsidR="00DD7965" w:rsidRPr="00B90724" w:rsidRDefault="006B6E1B" w:rsidP="00924B76">
      <w:pPr>
        <w:rPr>
          <w:lang w:val="en-US"/>
        </w:rPr>
      </w:pPr>
      <w:r w:rsidRPr="00B90724">
        <w:rPr>
          <w:lang w:val="en-US"/>
        </w:rPr>
        <w:t>Only a limited number of studies reported mortality data, which is</w:t>
      </w:r>
      <w:r w:rsidR="00BF69C6" w:rsidRPr="00B90724">
        <w:rPr>
          <w:lang w:val="en-US"/>
        </w:rPr>
        <w:t xml:space="preserve"> an outcome that is</w:t>
      </w:r>
      <w:r w:rsidRPr="00B90724">
        <w:rPr>
          <w:lang w:val="en-US"/>
        </w:rPr>
        <w:t xml:space="preserve"> expected </w:t>
      </w:r>
      <w:r w:rsidR="00BF69C6" w:rsidRPr="00B90724">
        <w:rPr>
          <w:lang w:val="en-US"/>
        </w:rPr>
        <w:t>to be l</w:t>
      </w:r>
      <w:r w:rsidR="00557254" w:rsidRPr="00B90724">
        <w:rPr>
          <w:lang w:val="en-US"/>
        </w:rPr>
        <w:t>ow</w:t>
      </w:r>
      <w:r w:rsidRPr="00B90724">
        <w:rPr>
          <w:lang w:val="en-US"/>
        </w:rPr>
        <w:t xml:space="preserve"> in th</w:t>
      </w:r>
      <w:r w:rsidR="00557254" w:rsidRPr="00B90724">
        <w:rPr>
          <w:lang w:val="en-US"/>
        </w:rPr>
        <w:t>ese elective</w:t>
      </w:r>
      <w:r w:rsidRPr="00B90724">
        <w:rPr>
          <w:lang w:val="en-US"/>
        </w:rPr>
        <w:t xml:space="preserve"> surgical populations. For example, a meta-analysis involving 3.6 million bariatric surgery patients reported just 4,707 perioperative deaths</w:t>
      </w:r>
      <w:r w:rsidR="004A5F05" w:rsidRPr="00B90724">
        <w:rPr>
          <w:lang w:val="en-US"/>
        </w:rPr>
        <w:t xml:space="preserve"> (0,13%)</w:t>
      </w:r>
      <w:r w:rsidR="00BD573F" w:rsidRPr="00B90724">
        <w:rPr>
          <w:lang w:val="en-US"/>
        </w:rPr>
        <w:t xml:space="preserve"> </w:t>
      </w:r>
      <w:r w:rsidR="00726B69" w:rsidRPr="00B90724">
        <w:rPr>
          <w:lang w:val="en-US"/>
        </w:rPr>
        <w:fldChar w:fldCharType="begin"/>
      </w:r>
      <w:r w:rsidR="00A20273" w:rsidRPr="00B90724">
        <w:rPr>
          <w:lang w:val="en-US"/>
        </w:rPr>
        <w:instrText xml:space="preserve"> ADDIN ZOTERO_ITEM CSL_CITATION {"citationID":"YeEmlZoh","properties":{"formattedCitation":"[111]","plainCitation":"[111]","noteIndex":0},"citationItems":[{"id":70,"uris":["http://zotero.org/users/local/L5HAWlIW/items/6BJMDHQM"],"itemData":{"id":70,"type":"article-journal","abstract":"Abstract\n            \n              Background\n              Bariatric surgery is an established treatment for severe obesity; however, fewer than 1 per cent of eligible patients undergo surgery. The perceived risk of surgery may contribute to the low uptake. The aim of this study was to determine perioperative mortality associated with bariatric surgery, comparing different operation types and data sources.\n            \n            \n              Methods\n              A literature search of Ovid MEDLINE, Embase, and the Cochrane Central Register of Controlled Trials was conducted to identify studies published between 1 January 2014 and 31 July 2020. Inclusion criteria were studies of at least 1000 patients reporting short-term mortality after bariatric surgery. Data were collected on RCTs. Meta-analysis was performed to establish overall mortality rates across different study types. The primary outcome measure was perioperative mortality. Different operation types were compared, along with study type, in subgroup analyses. The study was registered at PROSPERO (2019: CRD 42019131632).\n            \n            \n              Results\n              Some 4356 articles were identified and 58 met the inclusion criteria. Data were available on over 3.6 million patients. There were 4707 deaths. Pooled analysis showed an overall mortality rate of 0.08 (95 per cent c.i. 0.06 to 0.10; 95 per cent prediction interval 0 to 0.21) per cent. In subgroup analysis, there was no statistically significant difference between overall, 30-day, 90-day or in-hospital mortality (P = 0.29). There was no significant difference in reported mortality for RCTs, large studies, national databases or registries (P = 0.60). The pooled mortality rates by procedure type in ascending order were: 0.03 per cent for gastric band, 0.05 per cent for sleeve gastrectomy, 0.09 per cent for one-anastomosis gastric bypass, 0.09 per cent for Roux-en-Y gastric bypass, and 0.41 per cent for duodenal switch (P &amp;lt; 0.001 between operations).\n            \n            \n              Conclusion\n              Bariatric surgery is safe, with low reported perioperative mortality rates.","container-title":"British Journal of Surgery","DOI":"10.1093/bjs/znab245","ISSN":"0007-1323, 1365-2168","issue":"8","language":"en","note":"number: 8","page":"892-897","source":"DOI.org (Crossref)","title":"Perioperative mortality in bariatric surgery: meta-analysis","title-short":"Perioperative mortality in bariatric surgery","volume":"108","author":[{"family":"Robertson","given":"A G N"},{"family":"Wiggins","given":"T"},{"family":"Robertson","given":"F P"},{"family":"Huppler","given":"L"},{"family":"Doleman","given":"B"},{"family":"Harrison","given":"E M"},{"family":"Hollyman","given":"M"},{"family":"Welbourn","given":"R"}],"issued":{"date-parts":[["2021",8,19]]}}}],"schema":"https://github.com/citation-style-language/schema/raw/master/csl-citation.json"} </w:instrText>
      </w:r>
      <w:r w:rsidR="00726B69" w:rsidRPr="00B90724">
        <w:rPr>
          <w:lang w:val="en-US"/>
        </w:rPr>
        <w:fldChar w:fldCharType="separate"/>
      </w:r>
      <w:r w:rsidR="00A20273" w:rsidRPr="00B90724">
        <w:rPr>
          <w:rFonts w:cs="Times New Roman"/>
        </w:rPr>
        <w:t>[111]</w:t>
      </w:r>
      <w:r w:rsidR="00726B69" w:rsidRPr="00B90724">
        <w:rPr>
          <w:lang w:val="en-US"/>
        </w:rPr>
        <w:fldChar w:fldCharType="end"/>
      </w:r>
      <w:r w:rsidR="00BD573F" w:rsidRPr="00B90724">
        <w:rPr>
          <w:lang w:val="en-US"/>
        </w:rPr>
        <w:t>.</w:t>
      </w:r>
      <w:r w:rsidRPr="00B90724">
        <w:rPr>
          <w:lang w:val="en-US"/>
        </w:rPr>
        <w:t xml:space="preserve"> Similarly, in a study of over 35,000 radical prostatectomy cases, the 30-day mortality was below 0.5%</w:t>
      </w:r>
      <w:r w:rsidR="00BD573F" w:rsidRPr="00B90724">
        <w:rPr>
          <w:lang w:val="en-US"/>
        </w:rPr>
        <w:t xml:space="preserve"> </w:t>
      </w:r>
      <w:r w:rsidR="00086C5B" w:rsidRPr="00B90724">
        <w:rPr>
          <w:lang w:val="en-US"/>
        </w:rPr>
        <w:fldChar w:fldCharType="begin"/>
      </w:r>
      <w:r w:rsidR="00A20273" w:rsidRPr="00B90724">
        <w:rPr>
          <w:lang w:val="en-US"/>
        </w:rPr>
        <w:instrText xml:space="preserve"> ADDIN ZOTERO_ITEM CSL_CITATION {"citationID":"KarOa03s","properties":{"formattedCitation":"[112]","plainCitation":"[112]","noteIndex":0},"citationItems":[{"id":72,"uris":["http://zotero.org/users/local/L5HAWlIW/items/2Y8YTIJV"],"itemData":{"id":72,"type":"article-journal","container-title":"Urologic Oncology: Seminars and Original Investigations","DOI":"10.1016/j.urolonc.2017.11.019","ISSN":"10781439","issue":"4","journalAbbreviation":"Urologic Oncology: Seminars and Original Investigations","language":"en","note":"number: 4","page":"157.e7-157.e13","source":"DOI.org (Crossref)","title":"The association of age with perioperative morbidity and mortality among men undergoing radical prostatectomy","volume":"36","author":[{"family":"Pereira","given":"Jorge F."},{"family":"Golijanin","given":"Dragan"},{"family":"Pareek","given":"Gyan"},{"family":"Guo","given":"Ruiting"},{"family":"Zhang","given":"Zheng"},{"family":"Renzulli","given":"Joseph"},{"family":"Gershman, M.D.","given":"Boris"}],"issued":{"date-parts":[["2018",4]]}}}],"schema":"https://github.com/citation-style-language/schema/raw/master/csl-citation.json"} </w:instrText>
      </w:r>
      <w:r w:rsidR="00086C5B" w:rsidRPr="00B90724">
        <w:rPr>
          <w:lang w:val="en-US"/>
        </w:rPr>
        <w:fldChar w:fldCharType="separate"/>
      </w:r>
      <w:r w:rsidR="00A20273" w:rsidRPr="00B90724">
        <w:rPr>
          <w:rFonts w:cs="Times New Roman"/>
        </w:rPr>
        <w:t>[112]</w:t>
      </w:r>
      <w:r w:rsidR="00086C5B" w:rsidRPr="00B90724">
        <w:rPr>
          <w:lang w:val="en-US"/>
        </w:rPr>
        <w:fldChar w:fldCharType="end"/>
      </w:r>
      <w:r w:rsidR="00BD573F" w:rsidRPr="00B90724">
        <w:rPr>
          <w:lang w:val="en-US"/>
        </w:rPr>
        <w:t>.</w:t>
      </w:r>
      <w:r w:rsidRPr="00B90724">
        <w:rPr>
          <w:lang w:val="en-US"/>
        </w:rPr>
        <w:t xml:space="preserve"> These figures highlight the challenge of conducting </w:t>
      </w:r>
      <w:proofErr w:type="gramStart"/>
      <w:r w:rsidRPr="00B90724">
        <w:rPr>
          <w:lang w:val="en-US"/>
        </w:rPr>
        <w:t>a sufficiently</w:t>
      </w:r>
      <w:proofErr w:type="gramEnd"/>
      <w:r w:rsidRPr="00B90724">
        <w:rPr>
          <w:lang w:val="en-US"/>
        </w:rPr>
        <w:t xml:space="preserve"> powered mortality study in such low-risk populations.</w:t>
      </w:r>
      <w:r w:rsidR="00061E76" w:rsidRPr="00B90724">
        <w:rPr>
          <w:lang w:val="en-US"/>
        </w:rPr>
        <w:t xml:space="preserve"> </w:t>
      </w:r>
    </w:p>
    <w:p w14:paraId="149463D7" w14:textId="77777777" w:rsidR="0038497D" w:rsidRPr="00B90724" w:rsidRDefault="0038497D">
      <w:pPr>
        <w:spacing w:line="278" w:lineRule="auto"/>
        <w:jc w:val="left"/>
        <w:rPr>
          <w:rFonts w:eastAsiaTheme="majorEastAsia" w:cstheme="majorBidi"/>
          <w:b/>
          <w:lang w:val="en-US"/>
        </w:rPr>
      </w:pPr>
      <w:r w:rsidRPr="00B90724">
        <w:rPr>
          <w:lang w:val="en-US"/>
        </w:rPr>
        <w:br w:type="page"/>
      </w:r>
    </w:p>
    <w:p w14:paraId="3D28CB02" w14:textId="7823E851" w:rsidR="00953399" w:rsidRPr="00B90724" w:rsidRDefault="00752001" w:rsidP="00DF43AD">
      <w:pPr>
        <w:pStyle w:val="Heading2"/>
        <w:rPr>
          <w:szCs w:val="24"/>
          <w:lang w:val="en-US"/>
        </w:rPr>
      </w:pPr>
      <w:bookmarkStart w:id="94" w:name="_Toc211542222"/>
      <w:r w:rsidRPr="00B90724">
        <w:rPr>
          <w:szCs w:val="24"/>
          <w:lang w:val="en-US"/>
        </w:rPr>
        <w:lastRenderedPageBreak/>
        <w:t xml:space="preserve">9.2. </w:t>
      </w:r>
      <w:r w:rsidR="00573C51" w:rsidRPr="00B90724">
        <w:rPr>
          <w:szCs w:val="24"/>
          <w:lang w:val="en-US"/>
        </w:rPr>
        <w:t xml:space="preserve">Study II. – </w:t>
      </w:r>
      <w:proofErr w:type="spellStart"/>
      <w:r w:rsidR="00573C51" w:rsidRPr="00B90724">
        <w:rPr>
          <w:szCs w:val="24"/>
          <w:lang w:val="en-US"/>
        </w:rPr>
        <w:t>Hem</w:t>
      </w:r>
      <w:r w:rsidR="004A5249" w:rsidRPr="00B90724">
        <w:rPr>
          <w:szCs w:val="24"/>
          <w:lang w:val="en-US"/>
        </w:rPr>
        <w:t>o</w:t>
      </w:r>
      <w:r w:rsidR="00573C51" w:rsidRPr="00B90724">
        <w:rPr>
          <w:szCs w:val="24"/>
          <w:lang w:val="en-US"/>
        </w:rPr>
        <w:t>adsorption</w:t>
      </w:r>
      <w:proofErr w:type="spellEnd"/>
      <w:r w:rsidR="00573C51" w:rsidRPr="00B90724">
        <w:rPr>
          <w:szCs w:val="24"/>
          <w:lang w:val="en-US"/>
        </w:rPr>
        <w:t xml:space="preserve"> as Adjuvant Therapy in ARDS</w:t>
      </w:r>
      <w:bookmarkEnd w:id="94"/>
    </w:p>
    <w:p w14:paraId="3049DBD6" w14:textId="45D37F04" w:rsidR="005A4A75" w:rsidRPr="00B90724" w:rsidRDefault="00631131" w:rsidP="00631131">
      <w:pPr>
        <w:pStyle w:val="Heading3"/>
        <w:rPr>
          <w:szCs w:val="24"/>
          <w:lang w:val="en-US"/>
        </w:rPr>
      </w:pPr>
      <w:bookmarkStart w:id="95" w:name="_Toc211542223"/>
      <w:r w:rsidRPr="00B90724">
        <w:rPr>
          <w:szCs w:val="24"/>
          <w:lang w:val="en-US"/>
        </w:rPr>
        <w:t xml:space="preserve">9.2.1. </w:t>
      </w:r>
      <w:proofErr w:type="spellStart"/>
      <w:r w:rsidR="005A4A75" w:rsidRPr="00B90724">
        <w:rPr>
          <w:szCs w:val="24"/>
          <w:lang w:val="en-US"/>
        </w:rPr>
        <w:t>Hem</w:t>
      </w:r>
      <w:r w:rsidR="004A5249" w:rsidRPr="00B90724">
        <w:rPr>
          <w:szCs w:val="24"/>
          <w:lang w:val="en-US"/>
        </w:rPr>
        <w:t>o</w:t>
      </w:r>
      <w:r w:rsidR="005A4A75" w:rsidRPr="00B90724">
        <w:rPr>
          <w:szCs w:val="24"/>
          <w:lang w:val="en-US"/>
        </w:rPr>
        <w:t>adsorption</w:t>
      </w:r>
      <w:proofErr w:type="spellEnd"/>
      <w:r w:rsidR="005A4A75" w:rsidRPr="00B90724">
        <w:rPr>
          <w:szCs w:val="24"/>
          <w:lang w:val="en-US"/>
        </w:rPr>
        <w:t xml:space="preserve"> as an </w:t>
      </w:r>
      <w:r w:rsidR="00F019BD" w:rsidRPr="00B90724">
        <w:rPr>
          <w:szCs w:val="24"/>
          <w:lang w:val="en-US"/>
        </w:rPr>
        <w:t>A</w:t>
      </w:r>
      <w:r w:rsidR="005A4A75" w:rsidRPr="00B90724">
        <w:rPr>
          <w:szCs w:val="24"/>
          <w:lang w:val="en-US"/>
        </w:rPr>
        <w:t xml:space="preserve">djunctive </w:t>
      </w:r>
      <w:r w:rsidR="00F019BD" w:rsidRPr="00B90724">
        <w:rPr>
          <w:szCs w:val="24"/>
          <w:lang w:val="en-US"/>
        </w:rPr>
        <w:t>T</w:t>
      </w:r>
      <w:r w:rsidR="005A4A75" w:rsidRPr="00B90724">
        <w:rPr>
          <w:szCs w:val="24"/>
          <w:lang w:val="en-US"/>
        </w:rPr>
        <w:t>herapy</w:t>
      </w:r>
      <w:bookmarkEnd w:id="95"/>
    </w:p>
    <w:p w14:paraId="088186A6" w14:textId="5DBC8DF9" w:rsidR="00D6033E" w:rsidRPr="00B90724" w:rsidRDefault="00D6033E" w:rsidP="00D6033E">
      <w:pPr>
        <w:rPr>
          <w:lang w:val="en-US"/>
        </w:rPr>
      </w:pPr>
      <w:proofErr w:type="spellStart"/>
      <w:r w:rsidRPr="00B90724">
        <w:rPr>
          <w:lang w:val="en-US"/>
        </w:rPr>
        <w:t>Hem</w:t>
      </w:r>
      <w:r w:rsidR="004A5249" w:rsidRPr="00B90724">
        <w:rPr>
          <w:lang w:val="en-US"/>
        </w:rPr>
        <w:t>o</w:t>
      </w:r>
      <w:r w:rsidRPr="00B90724">
        <w:rPr>
          <w:lang w:val="en-US"/>
        </w:rPr>
        <w:t>adsorption</w:t>
      </w:r>
      <w:proofErr w:type="spellEnd"/>
      <w:r w:rsidRPr="00B90724">
        <w:rPr>
          <w:lang w:val="en-US"/>
        </w:rPr>
        <w:t xml:space="preserve"> has gained interest in treating hyperinflammatory critical conditions over the past decade. ARDS </w:t>
      </w:r>
      <w:r w:rsidR="00445EE6" w:rsidRPr="00B90724">
        <w:rPr>
          <w:lang w:val="en-US"/>
        </w:rPr>
        <w:t>may be a potential target</w:t>
      </w:r>
      <w:r w:rsidRPr="00B90724">
        <w:rPr>
          <w:lang w:val="en-US"/>
        </w:rPr>
        <w:t xml:space="preserve">, but </w:t>
      </w:r>
      <w:r w:rsidR="00457117" w:rsidRPr="00B90724">
        <w:rPr>
          <w:lang w:val="en-US"/>
        </w:rPr>
        <w:t>available</w:t>
      </w:r>
      <w:r w:rsidR="002337D7" w:rsidRPr="00B90724">
        <w:rPr>
          <w:lang w:val="en-US"/>
        </w:rPr>
        <w:t xml:space="preserve"> scientific </w:t>
      </w:r>
      <w:r w:rsidRPr="00B90724">
        <w:rPr>
          <w:lang w:val="en-US"/>
        </w:rPr>
        <w:t xml:space="preserve">data </w:t>
      </w:r>
      <w:proofErr w:type="gramStart"/>
      <w:r w:rsidRPr="00B90724">
        <w:rPr>
          <w:lang w:val="en-US"/>
        </w:rPr>
        <w:t>are</w:t>
      </w:r>
      <w:proofErr w:type="gramEnd"/>
      <w:r w:rsidRPr="00B90724">
        <w:rPr>
          <w:lang w:val="en-US"/>
        </w:rPr>
        <w:t xml:space="preserve"> limited. </w:t>
      </w:r>
      <w:r w:rsidR="002337D7" w:rsidRPr="00B90724">
        <w:rPr>
          <w:lang w:val="en-US"/>
        </w:rPr>
        <w:t xml:space="preserve">This </w:t>
      </w:r>
      <w:r w:rsidR="00A52276" w:rsidRPr="00B90724">
        <w:rPr>
          <w:lang w:val="en-US"/>
        </w:rPr>
        <w:t>systematic</w:t>
      </w:r>
      <w:r w:rsidRPr="00B90724">
        <w:rPr>
          <w:lang w:val="en-US"/>
        </w:rPr>
        <w:t xml:space="preserve"> review</w:t>
      </w:r>
      <w:r w:rsidR="00A52276" w:rsidRPr="00B90724">
        <w:rPr>
          <w:lang w:val="en-US"/>
        </w:rPr>
        <w:t xml:space="preserve"> and meta-analysis </w:t>
      </w:r>
      <w:r w:rsidRPr="00B90724">
        <w:rPr>
          <w:lang w:val="en-US"/>
        </w:rPr>
        <w:t>found few studies, lacking high-quality evidence, yet showed signs of better oxygenation, reduced inflammation, and lower vasopressor needs, with no serious adverse events.</w:t>
      </w:r>
    </w:p>
    <w:p w14:paraId="6BAC09A2" w14:textId="206EAD49" w:rsidR="005A4A75" w:rsidRPr="00B90724" w:rsidRDefault="00631131" w:rsidP="00631131">
      <w:pPr>
        <w:pStyle w:val="Heading3"/>
        <w:rPr>
          <w:szCs w:val="24"/>
          <w:lang w:val="en-US"/>
        </w:rPr>
      </w:pPr>
      <w:bookmarkStart w:id="96" w:name="_Toc211542224"/>
      <w:r w:rsidRPr="00B90724">
        <w:rPr>
          <w:szCs w:val="24"/>
          <w:lang w:val="en-US"/>
        </w:rPr>
        <w:t xml:space="preserve">9.2.2. </w:t>
      </w:r>
      <w:r w:rsidR="005A4A75" w:rsidRPr="00B90724">
        <w:rPr>
          <w:szCs w:val="24"/>
          <w:lang w:val="en-US"/>
        </w:rPr>
        <w:t>I</w:t>
      </w:r>
      <w:r w:rsidR="00F019BD" w:rsidRPr="00B90724">
        <w:rPr>
          <w:szCs w:val="24"/>
          <w:lang w:val="en-US"/>
        </w:rPr>
        <w:t>nflammatory Response Modulation</w:t>
      </w:r>
      <w:bookmarkEnd w:id="96"/>
    </w:p>
    <w:p w14:paraId="2E6D96E2" w14:textId="32CD0BA8" w:rsidR="00357669" w:rsidRPr="00B90724" w:rsidRDefault="000A05C8" w:rsidP="00357669">
      <w:pPr>
        <w:rPr>
          <w:lang w:val="en-US"/>
        </w:rPr>
      </w:pPr>
      <w:r w:rsidRPr="00B90724">
        <w:rPr>
          <w:lang w:val="en-US"/>
        </w:rPr>
        <w:t>Innate immune activation triggers pro-inflammatory signals, cytokine and chemokine release, and activates alveolar macrophages, causing endothelial and alveolar damage.</w:t>
      </w:r>
      <w:r w:rsidR="001A5EE5" w:rsidRPr="00B90724">
        <w:rPr>
          <w:lang w:val="en-US"/>
        </w:rPr>
        <w:t xml:space="preserve"> </w:t>
      </w:r>
      <w:r w:rsidR="001A5EE5" w:rsidRPr="00B90724">
        <w:rPr>
          <w:lang w:val="en-US"/>
        </w:rPr>
        <w:fldChar w:fldCharType="begin"/>
      </w:r>
      <w:r w:rsidR="00A20273" w:rsidRPr="00B90724">
        <w:rPr>
          <w:lang w:val="en-US"/>
        </w:rPr>
        <w:instrText xml:space="preserve"> ADDIN ZOTERO_ITEM CSL_CITATION {"citationID":"OZJFuEMN","properties":{"formattedCitation":"[113,114]","plainCitation":"[113,114]","noteIndex":0},"citationItems":[{"id":902,"uris":["http://zotero.org/users/local/L5HAWlIW/items/N2R7HY7V"],"itemData":{"id":902,"type":"article-journal","abstract":"Innate immunity forms a protective line of defense in the early stages of pulmonary infection. The primary cellular players of the innate immunity against respiratory infections are alveolar macrophages (AMs), dendritic cells (DCs), neutrophils, natural killer (NK) cells, and innate lymphoid cells (ILCs). They recognize conserved structures of microorganisms through membrane-bound and intracellular receptors to initiate appropriate responses. In this review, we focus on the prominent roles of innate immune cells and summarize transmembrane and cytosolic pattern recognition receptor (PRR) signaling recognition mechanisms during pulmonary microbial infections. Understanding the mechanisms of PRR signal recognition during pulmonary pathogen infections will help us to understand pulmonary immunopathology and lay a foundation for the development of effective therapies to treat and/or prevent pulmonary infections.","container-title":"BioMed Research International","DOI":"10.1155/2021/6646071","ISSN":"2314-6141, 2314-6133","journalAbbreviation":"BioMed Research International","language":"en","page":"1-14","source":"DOI.org (Crossref)","title":"The Role of Innate Immunity in Pulmonary Infections","volume":"2021","author":[{"family":"Zhang","given":"Huihui"},{"family":"He","given":"Fang"},{"family":"Li","given":"Pan"},{"family":"Hardwidge","given":"Philip R."},{"family":"Li","given":"Nengzhang"},{"family":"Peng","given":"Yuanyi"}],"editor":[{"family":"Ashwood","given":"Paul"}],"issued":{"date-parts":[["2021",1,22]]}}},{"id":904,"uris":["http://zotero.org/users/local/L5HAWlIW/items/XGBF2ALB"],"itemData":{"id":904,"type":"article-journal","container-title":"Nature Reviews Immunology","DOI":"10.1038/nri3024","ISSN":"1474-1733, 1474-1741","issue":"8","journalAbbreviation":"Nat Rev Immunol","language":"en","page":"519-531","source":"DOI.org (Crossref)","title":"Neutrophils in the activation and regulation of innate and adaptive immunity","volume":"11","author":[{"family":"Mantovani","given":"Alberto"},{"family":"Cassatella","given":"Marco A."},{"family":"Costantini","given":"Claudio"},{"family":"Jaillon","given":"Sébastien"}],"issued":{"date-parts":[["2011",8]]}}}],"schema":"https://github.com/citation-style-language/schema/raw/master/csl-citation.json"} </w:instrText>
      </w:r>
      <w:r w:rsidR="001A5EE5" w:rsidRPr="00B90724">
        <w:rPr>
          <w:lang w:val="en-US"/>
        </w:rPr>
        <w:fldChar w:fldCharType="separate"/>
      </w:r>
      <w:r w:rsidR="00A20273" w:rsidRPr="00B90724">
        <w:rPr>
          <w:rFonts w:cs="Times New Roman"/>
        </w:rPr>
        <w:t>[113,114]</w:t>
      </w:r>
      <w:r w:rsidR="001A5EE5" w:rsidRPr="00B90724">
        <w:rPr>
          <w:lang w:val="en-US"/>
        </w:rPr>
        <w:fldChar w:fldCharType="end"/>
      </w:r>
      <w:r w:rsidR="00BD573F" w:rsidRPr="00B90724">
        <w:rPr>
          <w:lang w:val="en-US"/>
        </w:rPr>
        <w:t>.</w:t>
      </w:r>
      <w:r w:rsidR="00A500AC" w:rsidRPr="00B90724">
        <w:rPr>
          <w:lang w:val="en-US"/>
        </w:rPr>
        <w:t xml:space="preserve"> </w:t>
      </w:r>
      <w:r w:rsidR="00142CD6" w:rsidRPr="00B90724">
        <w:rPr>
          <w:lang w:val="en-US"/>
        </w:rPr>
        <w:t>Most ARDS cases result from uncontrolled host-respons</w:t>
      </w:r>
      <w:r w:rsidR="00C70068" w:rsidRPr="00B90724">
        <w:rPr>
          <w:lang w:val="en-US"/>
        </w:rPr>
        <w:t>e</w:t>
      </w:r>
      <w:r w:rsidR="00142CD6" w:rsidRPr="00B90724">
        <w:rPr>
          <w:lang w:val="en-US"/>
        </w:rPr>
        <w:t xml:space="preserve"> </w:t>
      </w:r>
      <w:r w:rsidR="00202E80" w:rsidRPr="00B90724">
        <w:rPr>
          <w:lang w:val="en-US"/>
        </w:rPr>
        <w:t>to hyper</w:t>
      </w:r>
      <w:r w:rsidR="00142CD6" w:rsidRPr="00B90724">
        <w:rPr>
          <w:lang w:val="en-US"/>
        </w:rPr>
        <w:t xml:space="preserve">inflammation causing lung injury. </w:t>
      </w:r>
      <w:r w:rsidR="00CE174C" w:rsidRPr="00B90724">
        <w:rPr>
          <w:lang w:val="en-US"/>
        </w:rPr>
        <w:t xml:space="preserve">The cytokine absorbing capacity of </w:t>
      </w:r>
      <w:proofErr w:type="spellStart"/>
      <w:r w:rsidR="00CE174C" w:rsidRPr="00B90724">
        <w:rPr>
          <w:lang w:val="en-US"/>
        </w:rPr>
        <w:t>hem</w:t>
      </w:r>
      <w:r w:rsidR="004A5249" w:rsidRPr="00B90724">
        <w:rPr>
          <w:lang w:val="en-US"/>
        </w:rPr>
        <w:t>o</w:t>
      </w:r>
      <w:r w:rsidR="00CE174C" w:rsidRPr="00B90724">
        <w:rPr>
          <w:lang w:val="en-US"/>
        </w:rPr>
        <w:t>adsorption</w:t>
      </w:r>
      <w:proofErr w:type="spellEnd"/>
      <w:r w:rsidR="00CE174C" w:rsidRPr="00B90724">
        <w:rPr>
          <w:lang w:val="en-US"/>
        </w:rPr>
        <w:t xml:space="preserve"> cart</w:t>
      </w:r>
      <w:r w:rsidR="00C70068" w:rsidRPr="00B90724">
        <w:rPr>
          <w:lang w:val="en-US"/>
        </w:rPr>
        <w:t>r</w:t>
      </w:r>
      <w:r w:rsidR="00CE174C" w:rsidRPr="00B90724">
        <w:rPr>
          <w:lang w:val="en-US"/>
        </w:rPr>
        <w:t>i</w:t>
      </w:r>
      <w:r w:rsidR="00C70068" w:rsidRPr="00B90724">
        <w:rPr>
          <w:lang w:val="en-US"/>
        </w:rPr>
        <w:t>d</w:t>
      </w:r>
      <w:r w:rsidR="00CE174C" w:rsidRPr="00B90724">
        <w:rPr>
          <w:lang w:val="en-US"/>
        </w:rPr>
        <w:t>ges</w:t>
      </w:r>
      <w:r w:rsidR="00142CD6" w:rsidRPr="00B90724">
        <w:rPr>
          <w:lang w:val="en-US"/>
        </w:rPr>
        <w:t xml:space="preserve"> supports</w:t>
      </w:r>
      <w:r w:rsidR="00DE3378" w:rsidRPr="00B90724">
        <w:rPr>
          <w:lang w:val="en-US"/>
        </w:rPr>
        <w:t xml:space="preserve"> their theoretic benefits </w:t>
      </w:r>
      <w:r w:rsidR="00142CD6" w:rsidRPr="00B90724">
        <w:rPr>
          <w:lang w:val="en-US"/>
        </w:rPr>
        <w:t>in hyperinflammatory states. Our findings confirm growing</w:t>
      </w:r>
      <w:r w:rsidR="00DE3378" w:rsidRPr="00B90724">
        <w:rPr>
          <w:lang w:val="en-US"/>
        </w:rPr>
        <w:t xml:space="preserve"> interest in </w:t>
      </w:r>
      <w:r w:rsidR="00142CD6" w:rsidRPr="00B90724">
        <w:rPr>
          <w:lang w:val="en-US"/>
        </w:rPr>
        <w:t xml:space="preserve">research and use of </w:t>
      </w:r>
      <w:proofErr w:type="spellStart"/>
      <w:r w:rsidR="00142CD6" w:rsidRPr="00B90724">
        <w:rPr>
          <w:lang w:val="en-US"/>
        </w:rPr>
        <w:t>hem</w:t>
      </w:r>
      <w:r w:rsidR="004A5249" w:rsidRPr="00B90724">
        <w:rPr>
          <w:lang w:val="en-US"/>
        </w:rPr>
        <w:t>o</w:t>
      </w:r>
      <w:r w:rsidR="00142CD6" w:rsidRPr="00B90724">
        <w:rPr>
          <w:lang w:val="en-US"/>
        </w:rPr>
        <w:t>adsorption</w:t>
      </w:r>
      <w:proofErr w:type="spellEnd"/>
      <w:r w:rsidR="00142CD6" w:rsidRPr="00B90724">
        <w:rPr>
          <w:lang w:val="en-US"/>
        </w:rPr>
        <w:t xml:space="preserve"> in severe respiratory failure.</w:t>
      </w:r>
      <w:r w:rsidR="00357669" w:rsidRPr="00B90724">
        <w:rPr>
          <w:lang w:val="en-US"/>
        </w:rPr>
        <w:t xml:space="preserve"> </w:t>
      </w:r>
    </w:p>
    <w:p w14:paraId="2E8277E5" w14:textId="20895DDD" w:rsidR="00357669" w:rsidRPr="00B90724" w:rsidRDefault="00357669" w:rsidP="00357669">
      <w:pPr>
        <w:rPr>
          <w:lang w:val="en-US"/>
        </w:rPr>
      </w:pPr>
      <w:r w:rsidRPr="00B90724">
        <w:rPr>
          <w:lang w:val="en-US"/>
        </w:rPr>
        <w:t xml:space="preserve">An effective reduction in circulating inflammatory cytokines has been shown in in vitro studies </w:t>
      </w:r>
      <w:r w:rsidRPr="00B90724">
        <w:rPr>
          <w:lang w:val="en-US"/>
        </w:rPr>
        <w:fldChar w:fldCharType="begin"/>
      </w:r>
      <w:r w:rsidR="00A20273" w:rsidRPr="00B90724">
        <w:rPr>
          <w:lang w:val="en-US"/>
        </w:rPr>
        <w:instrText xml:space="preserve"> ADDIN ZOTERO_ITEM CSL_CITATION {"citationID":"5J9kICUi","properties":{"formattedCitation":"[115]","plainCitation":"[115]","noteIndex":0},"citationItems":[{"id":923,"uris":["http://zotero.org/users/local/L5HAWlIW/items/NQNG6JMU"],"itemData":{"id":923,"type":"article-journal","abstract":"&lt;i&gt;Background/Aims:&lt;/i&gt; We sought to characterize a novel adsorbent polymer in terms of cytokine removal. &lt;i&gt;Methods:&lt;/i&gt; We challenged 50 rats with lipopolysaccharide to obtain cytokine-rich blood and circulated this through cartridges containing polymer. In separate experiments, cell-free supernatants were passed through cartridges containing polymer. We measured tumor necrosis factor alpha, interleukin 10 and interleukin 6 concentrations under a variety of conditions to evaluate adsorption kinetics. &lt;i&gt;Results:&lt;/i&gt; All three cytokines were rapidly removed from the blood with less than 50% of the initial concentrations present after 1 h of circulation through the cartridge. There was no significant difference in the effect across a range of blood flows and Ca&lt;sup&gt;2+&lt;/sup&gt; concentrations. Adsorption was decreased somewhat by extremely low temperature (4°C). &lt;i&gt;Conclusion:&lt;/i&gt; The adsorbent polymer removes cytokines with high efficiency, and binding is relatively unaffected by a variety of physical conditions.","container-title":"Blood Purification","DOI":"10.1159/000080235","ISSN":"0253-5068, 1421-9735","issue":"5","journalAbbreviation":"Blood Purif","language":"en","page":"428-434","source":"DOI.org (Crossref)","title":"Cytokine Removal with a Novel Adsorbent Polymer","volume":"22","author":[{"family":"Song","given":"Mingchen"},{"family":"Winchester","given":"James"},{"family":"Albright","given":"Robert L."},{"family":"Capponi","given":"Vincent J."},{"family":"Choquette","given":"Michael D."},{"family":"Kellum","given":"John A."}],"issued":{"date-parts":[["2004"]]}}}],"schema":"https://github.com/citation-style-language/schema/raw/master/csl-citation.json"} </w:instrText>
      </w:r>
      <w:r w:rsidRPr="00B90724">
        <w:rPr>
          <w:lang w:val="en-US"/>
        </w:rPr>
        <w:fldChar w:fldCharType="separate"/>
      </w:r>
      <w:r w:rsidR="00A20273" w:rsidRPr="00B90724">
        <w:rPr>
          <w:rFonts w:cs="Times New Roman"/>
        </w:rPr>
        <w:t>[115]</w:t>
      </w:r>
      <w:r w:rsidRPr="00B90724">
        <w:rPr>
          <w:lang w:val="en-US"/>
        </w:rPr>
        <w:fldChar w:fldCharType="end"/>
      </w:r>
      <w:r w:rsidRPr="00B90724">
        <w:rPr>
          <w:lang w:val="en-US"/>
        </w:rPr>
        <w:t xml:space="preserve">, animal models </w:t>
      </w:r>
      <w:r w:rsidRPr="00B90724">
        <w:rPr>
          <w:lang w:val="en-US"/>
        </w:rPr>
        <w:fldChar w:fldCharType="begin"/>
      </w:r>
      <w:r w:rsidR="00A20273" w:rsidRPr="00B90724">
        <w:rPr>
          <w:lang w:val="en-US"/>
        </w:rPr>
        <w:instrText xml:space="preserve"> ADDIN ZOTERO_ITEM CSL_CITATION {"citationID":"UgtAiPna","properties":{"formattedCitation":"[116]","plainCitation":"[116]","noteIndex":0},"citationItems":[{"id":932,"uris":["http://zotero.org/users/local/L5HAWlIW/items/9HWLAHPE"],"itemData":{"id":932,"type":"article-journal","container-title":"Critical Care Medicine","DOI":"10.1097/01.CCM.0000114997.39857.69","ISSN":"0090-3493","issue":"3","journalAbbreviation":"Critical Care Medicine","language":"en","page":"801-805","source":"DOI.org (Crossref)","title":"Hemoadsorption removes tumor necrosis factor, interleukin-6, and interleukin-10, reduces nuclear factor-κB DNA binding, and improves short-term survival in lethal endotoxemia*:","title-short":"Hemoadsorption removes tumor necrosis factor, interleukin-6, and interleukin-10, reduces nuclear factor-κB DNA binding, and improves short-term survival in lethal endotoxemia*","volume":"32","author":[{"family":"Kellum","given":"John A."},{"family":"Song","given":"Mingchen"},{"family":"Venkataraman","given":"Ramesh"}],"issued":{"date-parts":[["2004",3]]}}}],"schema":"https://github.com/citation-style-language/schema/raw/master/csl-citation.json"} </w:instrText>
      </w:r>
      <w:r w:rsidRPr="00B90724">
        <w:rPr>
          <w:lang w:val="en-US"/>
        </w:rPr>
        <w:fldChar w:fldCharType="separate"/>
      </w:r>
      <w:r w:rsidR="00A20273" w:rsidRPr="00B90724">
        <w:rPr>
          <w:rFonts w:cs="Times New Roman"/>
        </w:rPr>
        <w:t>[116]</w:t>
      </w:r>
      <w:r w:rsidRPr="00B90724">
        <w:rPr>
          <w:lang w:val="en-US"/>
        </w:rPr>
        <w:fldChar w:fldCharType="end"/>
      </w:r>
      <w:r w:rsidRPr="00B90724">
        <w:rPr>
          <w:lang w:val="en-US"/>
        </w:rPr>
        <w:t>, and clinical trials</w:t>
      </w:r>
      <w:r w:rsidR="00BD573F" w:rsidRPr="00B90724">
        <w:rPr>
          <w:lang w:val="en-US"/>
        </w:rPr>
        <w:t xml:space="preserve"> </w:t>
      </w:r>
      <w:r w:rsidRPr="00B90724">
        <w:rPr>
          <w:lang w:val="en-US"/>
        </w:rPr>
        <w:fldChar w:fldCharType="begin"/>
      </w:r>
      <w:r w:rsidR="00A20273" w:rsidRPr="00B90724">
        <w:rPr>
          <w:lang w:val="en-US"/>
        </w:rPr>
        <w:instrText xml:space="preserve"> ADDIN ZOTERO_ITEM CSL_CITATION {"citationID":"c9cM0mWc","properties":{"formattedCitation":"[117]","plainCitation":"[117]","noteIndex":0},"citationItems":[{"id":933,"uris":["http://zotero.org/users/local/L5HAWlIW/items/6W64L72P"],"itemData":{"id":933,"type":"article-journal","container-title":"PLOS ONE","DOI":"10.1371/journal.pone.0187015","ISSN":"1932-6203","issue":"10","journalAbbreviation":"PLoS ONE","language":"en","page":"e0187015","source":"DOI.org (Crossref)","title":"The effect of a novel extracorporeal cytokine hemoadsorption device on IL-6 elimination in septic patients: A randomized controlled trial","title-short":"The effect of a novel extracorporeal cytokine hemoadsorption device on IL-6 elimination in septic patients","volume":"12","author":[{"family":"Schädler","given":"Dirk"},{"family":"Pausch","given":"Christine"},{"family":"Heise","given":"Daniel"},{"family":"Meier-Hellmann","given":"Andreas"},{"family":"Brederlau","given":"Jörg"},{"family":"Weiler","given":"Norbert"},{"family":"Marx","given":"Gernot"},{"family":"Putensen","given":"Christian"},{"family":"Spies","given":"Claudia"},{"family":"Jörres","given":"Achim"},{"family":"Quintel","given":"Michael"},{"family":"Engel","given":"Christoph"},{"family":"Kellum","given":"John A."},{"family":"Kuhlmann","given":"Martin K."}],"editor":[{"family":"Eller","given":"Kathrin"}],"issued":{"date-parts":[["2017",10,30]]}}}],"schema":"https://github.com/citation-style-language/schema/raw/master/csl-citation.json"} </w:instrText>
      </w:r>
      <w:r w:rsidRPr="00B90724">
        <w:rPr>
          <w:lang w:val="en-US"/>
        </w:rPr>
        <w:fldChar w:fldCharType="separate"/>
      </w:r>
      <w:r w:rsidR="00A20273" w:rsidRPr="00B90724">
        <w:rPr>
          <w:rFonts w:cs="Times New Roman"/>
        </w:rPr>
        <w:t>[117]</w:t>
      </w:r>
      <w:r w:rsidRPr="00B90724">
        <w:rPr>
          <w:lang w:val="en-US"/>
        </w:rPr>
        <w:fldChar w:fldCharType="end"/>
      </w:r>
      <w:r w:rsidRPr="00B90724">
        <w:rPr>
          <w:lang w:val="en-US"/>
        </w:rPr>
        <w:t xml:space="preserve">. In our study, only CRP levels </w:t>
      </w:r>
      <w:r w:rsidR="00C70068" w:rsidRPr="00B90724">
        <w:rPr>
          <w:lang w:val="en-US"/>
        </w:rPr>
        <w:t xml:space="preserve">decreased </w:t>
      </w:r>
      <w:r w:rsidRPr="00B90724">
        <w:rPr>
          <w:lang w:val="en-US"/>
        </w:rPr>
        <w:t xml:space="preserve">significantly with </w:t>
      </w:r>
      <w:proofErr w:type="spellStart"/>
      <w:r w:rsidRPr="00B90724">
        <w:rPr>
          <w:lang w:val="en-US"/>
        </w:rPr>
        <w:t>hem</w:t>
      </w:r>
      <w:r w:rsidR="004A5249" w:rsidRPr="00B90724">
        <w:rPr>
          <w:lang w:val="en-US"/>
        </w:rPr>
        <w:t>o</w:t>
      </w:r>
      <w:r w:rsidRPr="00B90724">
        <w:rPr>
          <w:lang w:val="en-US"/>
        </w:rPr>
        <w:t>adsorption</w:t>
      </w:r>
      <w:proofErr w:type="spellEnd"/>
      <w:r w:rsidRPr="00B90724">
        <w:rPr>
          <w:lang w:val="en-US"/>
        </w:rPr>
        <w:t xml:space="preserve">, though IL-6 levels also tended to decline, particularly in studies with higher baseline IL-6 levels </w:t>
      </w:r>
      <w:r w:rsidRPr="00B90724">
        <w:rPr>
          <w:lang w:val="en-US"/>
        </w:rPr>
        <w:fldChar w:fldCharType="begin"/>
      </w:r>
      <w:r w:rsidR="000E3931" w:rsidRPr="00B90724">
        <w:rPr>
          <w:lang w:val="en-US"/>
        </w:rPr>
        <w:instrText xml:space="preserve"> ADDIN ZOTERO_ITEM CSL_CITATION {"citationID":"Sxj1bVQ3","properties":{"formattedCitation":"[24,71,72]","plainCitation":"[24,71,72]","noteIndex":0},"citationItems":[{"id":327,"uris":["http://zotero.org/users/local/L5HAWlIW/items/F8WHZXRB"],"itemData":{"id":327,"type":"article-journal","abstract":"&lt;AbstractText Label=\"OBJECTIVE\" NlmCategory=\"UNASSIGNED\"&gt;Patients with severe manifestations of COVID-19 might exhibit characteristics of a sepsis-like syndrome that can progress to multiple organ failure and ultimately death. Underlying mechanism have been explored and suggest a profound dysregulation of the immune system associated with hyperinflammation, hemodynamic instability and respiratory failure. Besides standard intensive care treatment, approaches modulating the dysregulated immune response, such as CytoSorb hemoadsorption, have been used. However, data of ECMO-dependent patients in comparison to a control cohort remain scarce.&lt;/AbstractText&gt; &lt;AbstractText Label=\"METHODS\" NlmCategory=\"UNASSIGNED\"&gt;Included were 26 critically ill COVID-19 patients requiring high-flow veno-venous extracorporeal membrane oxygenation (high-flow VV ECMO) therapy due to severe acute respiratory distress syndrome (ARDS), of whom 16 were additionally treated with an extracorporeal hemoadsorption device, and compared to a control group of 10 patients. Assessed were levels of inflammatory markers, vasopressor requirements, oxygenation parameters, as well as clinically relevant outcome variables. Data were prospectively recorded and retrospectively analyzed.&lt;/AbstractText&gt; &lt;AbstractText Label=\"RESULTS\" NlmCategory=\"UNASSIGNED\"&gt;Treatment with the applied multimodal therapy approach resulted in a stabilization in hemodynamics, a control of the hyperinflammatory response as evidenced by a significant reduction in inflammatory mediators, as well as a marked improvement in lung function. No device related adverse events were observed while treatment appeared safe and feasible.&lt;/AbstractText&gt; &lt;AbstractText Label=\"CONCLUSION\" NlmCategory=\"UNASSIGNED\"&gt;Treatment of a critically ill COVID-19 ARDS patients with combined VV ECMO support and hemoadsorption therapy led to a rapid and sustained hemodynamic stabilization, a control of the uncontrolled inflammatory response and an improvement in oxygenation. Given these signals pointing toward a patient-oriented benefit of extracorporeal hemoadsorption therapy in those patients, future controlled, randomized studies should focus on the investigation of the appropriate timing and dosing of this promising treatment modality.&lt;/AbstractText&gt;","container-title":"The International journal of artificial organs","DOI":"10.1177/03913988221103287","issue":"7","page":"615-622","title":"Blood purification therapy in patients with severe COVID-19 requiring veno-venous ECMO therapy: A retrospective study.","volume":"45","author":[{"family":"Akil","given":"Ali; Ziegeler","suffix":"Stephan; Rehers, Stephanie; Ernst, Erik Christian; Fischer, Stefan"}],"issued":{"date-parts":[["2022"]]}}},{"id":127,"uris":["http://zotero.org/users/local/L5HAWlIW/items/E7E286NV"],"itemData":{"id":127,"type":"article-journal","abstract":"AIM: To investigate continuous renal replacement therapy (CRRT) with CytoSorb® cartridge for patients with life-threatening COVID-19 plus acute kidney injury (AKI), sepsis, acute respiratory distress syndrome (ARDS), and cytokine release syndrome (CRS). PATIENTS AND METHODS: Of 492 COVID-19 patients admitted to our intensive care unit (ICU), 50 had AKI necessitating CRRT (10.16%) and were enrolled in the study. Upon ICU admission, all had AKI, ARDS, septic shock, and CRS. In addition to CRRT with CytoSorb® , all received ARDS-net ventilation, prone positioning, plus empiric ribavirin, interferon beta-1b, antibiotics, hydrocortisone, and prophylactic anticoagulation. We retrospectively analyzed inflammatory biomarkers, oxygenation, organ function, duration of mechanical ventilation, ICU length-of-stay, and mortality on day-28 post-ICU admission. RESULTS: Patients were 49.64 ±8.90 years old (78% male) with body mass index of 26.70±2.76 kg/m2 . On ICU admission, mean Acute Physiology and Chronic Health Evaluation II, was 22.52±1.1. Sequential Organ Function Assessment (SOFA) score was 9.36±2.068 and the ratio of partial arterial pressure of oxygen to fractional inspired concentration of oxygen (PaO2 /FiO2 ) was 117.46±36.92. Duration of mechanical ventilation was 17.38±7.39 days, ICU length-of-stay was 20.70±8.83 days, and mortality 28 days post-ICU admission was 30%. Non-survivors had higher levels of inflammatory biomarkers, and more unresolved shock, ARDS, AKI, and pulmonary emboli (8% vs. 4 %, p 620 pg/ml) predicted in-hospital mortality for critically ill COVID-19 patients (area-under-the-curve: 0.87, 95% confidence-intervals: 0.81-0.93; p=0.001). No side effects of therapy were recorded. CONCLUSION: In this retrospective case-series, CRRT with the CytoSorb® cartridge provided a safe rescue therapy in life-threatening COVID-19 with associated AKI, ARDS, sepsis, and hyperinflammation.","container-title":"Artificial organs","DOI":"10.1111/aor.13864","issue":"5","note":"publisher: Wiley-Blackwell","page":"E101-E112","title":"Continuous renal replacement therapy with the addition of CytoSorb ® cartridge in critically ill patients with COVID-19 plus acute kidney injury: a case-series.","volume":"45","author":[{"family":"Alharthy","given":"Abdulrahman; Faqihi","suffix":"Fahad; Memish, Ziad A.; Balhamar, Abdullah; Nasim, Nasir; Shahzad, Ahmad; Tamim, Hani; Alqahtani, Saleh A.; Brindley, Peter G.; Karakitsos, Dimitrios"}],"issued":{"date-parts":[["2020"]]}}},{"id":421,"uris":["http://zotero.org/users/local/L5HAWlIW/items/CBZA97VA"],"itemData":{"id":421,"type":"article-journal","abstract":"BACKGROUND: We sought to clarify the benefit of cytokine adsorption in patients with COVID-19 supported with venovenous extracorporeal membrane oxygenation (ECMO). METHODS: We did a single-centre, open-label, randomised, controlled trial to investigate cytokine adsorption in adult patients with severe COVID-19 pneumonia requiring ECMO. Patients with COVID-19 selected for ECMO at the Freiburg University Medical Center (Freiburg, Germany) were randomly assigned (1:1) to receive cytokine adsorption using the CytoSorb device or not. Randomisation was computer-generated, allocation was concealed by opaque, sequentially numbered sealed envelopes. The CytoSorb device was incorporated into the ECMO circuit before connection to the patient circuit, replaced every 24 h, and removed after 72 h. The primary endpoint was serum interleukin-6 (IL-6) concentration 72 h after initiation of ECMO analysed by intention to treat. Secondary endpoints included 30-day survival. The trial is registered with ClinicalTrials.gov (NCT04324528) and the German Clinical Trials Register (DRKS00021300) and is closed. FINDINGS: From March 29, 2020, to Dec 29, 2020, of 34 patients assessed for eligibility, 17 (50%) were treated with cytokine adsorption and 17 (50%) without. Median IL-6 decreased from 357·0 pg/mL to 98·6 pg/mL in patients randomly assigned to cytokine adsorption and from 289·0 pg/mL to 112·0 pg/mL in the control group after 72 h. One patient in each group died before 72 h. Adjusted mean log IL-6 concentrations after 72 h were 0·30 higher in the cytokine adsorption group (95% CI -0·70 to 1·30, p=0·54). Survival after 30 days was three (18%) of 17 with cytokine adsorption and 13 (76%) of 17 without cytokine adsorption (p=0·0016). INTERPRETATION: Early initiation of cytokine adsorption in patients with severe COVID-19 and venovenous ECMO did not reduce serum IL-6 and had a negative effect on survival. Cytokine adsorption should not be used during the first days of ECMO support in COVID-19. FUNDING: None.","container-title":"The Lancet. Respiratory medicine","DOI":"10.1016/s2213-2600(21)00177-6","issue":"7","page":"755-762","title":"Cytokine adsorption in patients with severe COVID-19 pneumonia requiring extracorporeal membrane oxygenation (CYCOV): a single centre, open-label, randomised, controlled trial.","volume":"9","author":[{"family":"Supady","given":"Alexander; Weber","suffix":"Enya; Rieder, Marina; Lother, Achim; Niklaus, Tim; Zahn, Timm; Frech, Franziska; Müller, Sissi; Kuhl, Moritz; Benk, Christoph; Maier, Sven; Trummer, Georg; Flügler, Annabelle; Krüger, Kirsten; Sekandarzad, Asieb; Stachon, Peter; Zotzmann, Viviane; Bode, Christoph; Biever, Paul; Staudacher, Dawid L.; Wengenmayer, Tobias; Graf, Erika; Duerschmied, Daniel"}],"issued":{"date-parts":[["2021"]]}}}],"schema":"https://github.com/citation-style-language/schema/raw/master/csl-citation.json"} </w:instrText>
      </w:r>
      <w:r w:rsidRPr="00B90724">
        <w:rPr>
          <w:lang w:val="en-US"/>
        </w:rPr>
        <w:fldChar w:fldCharType="separate"/>
      </w:r>
      <w:r w:rsidR="000E3931" w:rsidRPr="00B90724">
        <w:rPr>
          <w:rFonts w:cs="Times New Roman"/>
        </w:rPr>
        <w:t>[24,71,72]</w:t>
      </w:r>
      <w:r w:rsidRPr="00B90724">
        <w:rPr>
          <w:lang w:val="en-US"/>
        </w:rPr>
        <w:fldChar w:fldCharType="end"/>
      </w:r>
      <w:r w:rsidR="00BD573F" w:rsidRPr="00B90724">
        <w:rPr>
          <w:lang w:val="en-US"/>
        </w:rPr>
        <w:t>.</w:t>
      </w:r>
    </w:p>
    <w:p w14:paraId="7DCAA06E" w14:textId="2AB98490" w:rsidR="00A26A3F" w:rsidRPr="00B90724" w:rsidRDefault="00A26A3F" w:rsidP="00357669">
      <w:pPr>
        <w:rPr>
          <w:lang w:val="en-US"/>
        </w:rPr>
      </w:pPr>
      <w:r w:rsidRPr="00B90724">
        <w:rPr>
          <w:lang w:val="en-US"/>
        </w:rPr>
        <w:t xml:space="preserve">CRP, due to its large molecular weight, is unlikely to be directly adsorbed; its reduction is likely an indirect effect of decreased inflammation. Nonetheless, similar CRP reductions during </w:t>
      </w:r>
      <w:proofErr w:type="spellStart"/>
      <w:r w:rsidRPr="00B90724">
        <w:rPr>
          <w:lang w:val="en-US"/>
        </w:rPr>
        <w:t>hem</w:t>
      </w:r>
      <w:r w:rsidR="004A5249" w:rsidRPr="00B90724">
        <w:rPr>
          <w:lang w:val="en-US"/>
        </w:rPr>
        <w:t>o</w:t>
      </w:r>
      <w:r w:rsidRPr="00B90724">
        <w:rPr>
          <w:lang w:val="en-US"/>
        </w:rPr>
        <w:t>adsorption</w:t>
      </w:r>
      <w:proofErr w:type="spellEnd"/>
      <w:r w:rsidRPr="00B90724">
        <w:rPr>
          <w:lang w:val="en-US"/>
        </w:rPr>
        <w:t xml:space="preserve"> have been reported by others, consistent with our findings</w:t>
      </w:r>
      <w:r w:rsidR="00192E8E" w:rsidRPr="00B90724">
        <w:rPr>
          <w:lang w:val="en-US"/>
        </w:rPr>
        <w:t xml:space="preserve"> </w:t>
      </w:r>
      <w:r w:rsidR="00192E8E" w:rsidRPr="00B90724">
        <w:rPr>
          <w:lang w:val="en-US"/>
        </w:rPr>
        <w:fldChar w:fldCharType="begin"/>
      </w:r>
      <w:r w:rsidR="00A20273" w:rsidRPr="00B90724">
        <w:rPr>
          <w:lang w:val="en-US"/>
        </w:rPr>
        <w:instrText xml:space="preserve"> ADDIN ZOTERO_ITEM CSL_CITATION {"citationID":"63Rt4eIY","properties":{"formattedCitation":"[118]","plainCitation":"[118]","noteIndex":0},"citationItems":[{"id":935,"uris":["http://zotero.org/users/local/L5HAWlIW/items/QI5HWQAN"],"itemData":{"id":935,"type":"article-journal","abstract":"Background\n              After its approval by the European Union in 2011, CytoSorb therapy has been applied to control cytokine storm and lower the increased levels of cytokines and other inflammatory mediators in blood. However, the efficiency of this CytoSorb treatment in patients with coronavirus disease (COVID-19) still remains unclear. To elucidate the Cytosorb efficiency, we conducted a systematic review and single-arm proportion meta-analysis to combine all evidence available in the published literature to date, so that this comprehensive knowledge can guide clinical decision-making and future research.\n            \n            \n              Methods\n              The literature published within the period 1 December 2019 to 31 December 2021 and stored in the Cochrane Library, Embase, PubMed, and International Clinical Trials Registry Platform (ICTRP) was searched for all relevant studies including the cases where COVID-19 patients were treated with CytoSorb. We performed random-effects meta-analyses by R software (3.6.1) and used the Joanna Briggs Institute checklist to assess the risk of bias. Both categorical and continuous variables were presented with 95% confidence intervals (CIs) as pooled proportions for categorical variables and pooled means for continuous outcomes.\n            \n            \n              Results\n              \n                We included 14 studies with 241 COVID-19 patients treated with CytoSorb hemadsorption. Our findings reveal that for COVID-19 patients receiving CytoSorb treatment, the combined in-hospital mortality was 42.1% (95% CI 29.5–54.6%, I\n                2\n                = 74%). The pooled incidence of adjunctive extracorporeal membrane oxygenation (ECMO) support was 73.2%. Both the C-reactive protein (CRP) and interleukin-6 (IL-6) levels decreased after CytoSorb treatment. The pooled mean of the CRP level decreased from 147.55 (95% CI 91.14–203.96) to 92.36 mg/L (95% CI 46.74–137.98), while that of IL-6 decreased from 339.49 (95% CI 164.35–514.63) to 168.83 pg/mL (95% CI 82.22–255.45).\n              \n            \n            \n              Conclusions\n              The majority of the COVID-19 patients treated with CytoSorb received ECMO support. In-hospital mortality was 42.1% for the COVID-19 patients who had CytoSorb treatment. Both CRP and IL-6 levels decreased after Cytosorb treatment.","container-title":"Frontiers in Immunology","DOI":"10.3389/fimmu.2023.1067214","ISSN":"1664-3224","journalAbbreviation":"Front. Immunol.","page":"1067214","source":"DOI.org (Crossref)","title":"CytoSorb in patients with coronavirus disease 2019: A rapid evidence review and meta-analysis","title-short":"CytoSorb in patients with coronavirus disease 2019","volume":"14","author":[{"family":"Wei","given":"Shilin"},{"family":"Zhang","given":"Yanchun"},{"family":"Zhai","given":"Kerong"},{"family":"Li","given":"Jian"},{"family":"Li","given":"Mingming"},{"family":"Yang","given":"Jianbao"},{"family":"Zhang","given":"Rongzhi"},{"family":"Li","given":"Yongnan"},{"family":"Li","given":"Zhenzhen"}],"issued":{"date-parts":[["2023",1,31]]}}}],"schema":"https://github.com/citation-style-language/schema/raw/master/csl-citation.json"} </w:instrText>
      </w:r>
      <w:r w:rsidR="00192E8E" w:rsidRPr="00B90724">
        <w:rPr>
          <w:lang w:val="en-US"/>
        </w:rPr>
        <w:fldChar w:fldCharType="separate"/>
      </w:r>
      <w:r w:rsidR="00A20273" w:rsidRPr="00B90724">
        <w:rPr>
          <w:rFonts w:cs="Times New Roman"/>
        </w:rPr>
        <w:t>[118]</w:t>
      </w:r>
      <w:r w:rsidR="00192E8E" w:rsidRPr="00B90724">
        <w:rPr>
          <w:lang w:val="en-US"/>
        </w:rPr>
        <w:fldChar w:fldCharType="end"/>
      </w:r>
      <w:r w:rsidR="00BD573F" w:rsidRPr="00B90724">
        <w:rPr>
          <w:lang w:val="en-US"/>
        </w:rPr>
        <w:t>.</w:t>
      </w:r>
      <w:r w:rsidR="00192E8E" w:rsidRPr="00B90724">
        <w:rPr>
          <w:lang w:val="en-US"/>
        </w:rPr>
        <w:t xml:space="preserve"> The small sample size and high data variability likely limited the ability to draw firm conclusions for the overall population.</w:t>
      </w:r>
    </w:p>
    <w:p w14:paraId="5230EB7D" w14:textId="45F71B13" w:rsidR="00142CD6" w:rsidRPr="00B90724" w:rsidRDefault="00457117" w:rsidP="00142CD6">
      <w:pPr>
        <w:rPr>
          <w:lang w:val="en-US"/>
        </w:rPr>
      </w:pPr>
      <w:r w:rsidRPr="00B90724">
        <w:rPr>
          <w:lang w:val="en-US"/>
        </w:rPr>
        <w:t>Dysregulated</w:t>
      </w:r>
      <w:r w:rsidR="00AA6A43" w:rsidRPr="00B90724">
        <w:rPr>
          <w:lang w:val="en-US"/>
        </w:rPr>
        <w:t xml:space="preserve"> host-response often </w:t>
      </w:r>
      <w:r w:rsidR="005155AD" w:rsidRPr="00B90724">
        <w:rPr>
          <w:lang w:val="en-US"/>
        </w:rPr>
        <w:t xml:space="preserve">leads to </w:t>
      </w:r>
      <w:r w:rsidR="00C70068" w:rsidRPr="00B90724">
        <w:rPr>
          <w:lang w:val="en-US"/>
        </w:rPr>
        <w:t xml:space="preserve">the </w:t>
      </w:r>
      <w:r w:rsidR="005155AD" w:rsidRPr="00B90724">
        <w:rPr>
          <w:lang w:val="en-US"/>
        </w:rPr>
        <w:t xml:space="preserve">loss of vasomotor tone, resulting in hemodynamic instability </w:t>
      </w:r>
      <w:r w:rsidR="00AA6A43" w:rsidRPr="00B90724">
        <w:rPr>
          <w:lang w:val="en-US"/>
        </w:rPr>
        <w:t>or even</w:t>
      </w:r>
      <w:r w:rsidR="005155AD" w:rsidRPr="00B90724">
        <w:rPr>
          <w:lang w:val="en-US"/>
        </w:rPr>
        <w:t xml:space="preserve"> </w:t>
      </w:r>
      <w:proofErr w:type="spellStart"/>
      <w:r w:rsidR="005155AD" w:rsidRPr="00B90724">
        <w:rPr>
          <w:lang w:val="en-US"/>
        </w:rPr>
        <w:t>vasoplegic</w:t>
      </w:r>
      <w:proofErr w:type="spellEnd"/>
      <w:r w:rsidR="005155AD" w:rsidRPr="00B90724">
        <w:rPr>
          <w:lang w:val="en-US"/>
        </w:rPr>
        <w:t xml:space="preserve"> shock. Clinical experience and published data suggest that </w:t>
      </w:r>
      <w:proofErr w:type="spellStart"/>
      <w:r w:rsidR="005155AD" w:rsidRPr="00B90724">
        <w:rPr>
          <w:lang w:val="en-US"/>
        </w:rPr>
        <w:t>hem</w:t>
      </w:r>
      <w:r w:rsidR="004A5249" w:rsidRPr="00B90724">
        <w:rPr>
          <w:lang w:val="en-US"/>
        </w:rPr>
        <w:t>o</w:t>
      </w:r>
      <w:r w:rsidR="005155AD" w:rsidRPr="00B90724">
        <w:rPr>
          <w:lang w:val="en-US"/>
        </w:rPr>
        <w:t>adsorption</w:t>
      </w:r>
      <w:proofErr w:type="spellEnd"/>
      <w:r w:rsidR="005155AD" w:rsidRPr="00B90724">
        <w:rPr>
          <w:lang w:val="en-US"/>
        </w:rPr>
        <w:t xml:space="preserve"> is often associated with hemodynamic improvement, </w:t>
      </w:r>
      <w:r w:rsidR="00C70068" w:rsidRPr="00B90724">
        <w:rPr>
          <w:lang w:val="en-US"/>
        </w:rPr>
        <w:t xml:space="preserve">indicated </w:t>
      </w:r>
      <w:r w:rsidR="005155AD" w:rsidRPr="00B90724">
        <w:rPr>
          <w:lang w:val="en-US"/>
        </w:rPr>
        <w:t>by reduced vasopressor needs</w:t>
      </w:r>
      <w:r w:rsidR="00BD573F" w:rsidRPr="00B90724">
        <w:rPr>
          <w:lang w:val="en-US"/>
        </w:rPr>
        <w:t xml:space="preserve"> </w:t>
      </w:r>
      <w:r w:rsidR="004E3C4F" w:rsidRPr="00B90724">
        <w:rPr>
          <w:lang w:val="en-US"/>
        </w:rPr>
        <w:fldChar w:fldCharType="begin"/>
      </w:r>
      <w:r w:rsidR="00A20273" w:rsidRPr="00B90724">
        <w:rPr>
          <w:lang w:val="en-US"/>
        </w:rPr>
        <w:instrText xml:space="preserve"> ADDIN ZOTERO_ITEM CSL_CITATION {"citationID":"s7goGbOr","properties":{"formattedCitation":"[119]","plainCitation":"[119]","noteIndex":0},"citationItems":[{"id":347,"uris":["http://zotero.org/users/local/L5HAWlIW/items/VF5XJPBD"],"itemData":{"id":347,"type":"article-journal","abstract":"Hemodynamic instability due to dysregulated host response is a life-threatening condition requiring vasopressors and vital organ support. Hemoadsorption with Cytosorb has proven to be effective in reducing cytokines and possibly in attenuating the devastating effects of the cytokine storm originating from the immune over-response to the initial insult. We reviewed the PubMed database to assess evidence of the impact of Cytosorb on norepinephrine needs in the critically ill. We further analyzed those studies including data on control cohorts in a comparative pooled analysis, defining a treatment effect as the standardized mean differences in relative reductions in vasopressor dosage at 24 h. The literature search returned 33 eligible studies. We found evidence of a significant reduction in norepinephrine requirement after treatment: median before, 0.55 (IQR: 0.39–0.90); after, 0.09 (0.00–0.25) μg/kg/min, p &lt; 0.001. The pooled effect size at 24 h was large, though characterized by high heterogeneity. In light of the importance of a quick resolution of hemodynamic instability in the critically ill, further research is encouraged to enrich knowledge on the potentials of the therapy.","container-title":"Biomedicines","DOI":"10.3390/biomedicines9070768","issue":"7","page":"768-NA","title":"The Potential Role of Extracorporeal Cytokine Removal in Hemodynamic Stabilization in Hyperinflammatory Shock.","volume":"9","author":[{"family":"Hawchar","given":"Fatime; Rao","suffix":"Cristina; Akil, Ali; Mehta, Yatin; Rugg, Christopher; Scheier, Joerg; Adamson, Harriet; Deliargyris, Efthymios N; Molnár, Zsolt"}],"issued":{"date-parts":[["2021"]]}}}],"schema":"https://github.com/citation-style-language/schema/raw/master/csl-citation.json"} </w:instrText>
      </w:r>
      <w:r w:rsidR="004E3C4F" w:rsidRPr="00B90724">
        <w:rPr>
          <w:lang w:val="en-US"/>
        </w:rPr>
        <w:fldChar w:fldCharType="separate"/>
      </w:r>
      <w:r w:rsidR="00A20273" w:rsidRPr="00B90724">
        <w:rPr>
          <w:rFonts w:cs="Times New Roman"/>
        </w:rPr>
        <w:t>[119]</w:t>
      </w:r>
      <w:r w:rsidR="004E3C4F" w:rsidRPr="00B90724">
        <w:rPr>
          <w:lang w:val="en-US"/>
        </w:rPr>
        <w:fldChar w:fldCharType="end"/>
      </w:r>
      <w:r w:rsidR="004E3C4F" w:rsidRPr="00B90724">
        <w:rPr>
          <w:lang w:val="en-US"/>
        </w:rPr>
        <w:t xml:space="preserve"> </w:t>
      </w:r>
      <w:r w:rsidR="005155AD" w:rsidRPr="00B90724">
        <w:rPr>
          <w:lang w:val="en-US"/>
        </w:rPr>
        <w:t>and decreased plasma lactate levels</w:t>
      </w:r>
      <w:r w:rsidR="00BD573F" w:rsidRPr="00B90724">
        <w:rPr>
          <w:lang w:val="en-US"/>
        </w:rPr>
        <w:t xml:space="preserve"> </w:t>
      </w:r>
      <w:r w:rsidR="00CF04FE" w:rsidRPr="00B90724">
        <w:rPr>
          <w:lang w:val="en-US"/>
        </w:rPr>
        <w:fldChar w:fldCharType="begin"/>
      </w:r>
      <w:r w:rsidR="00A20273" w:rsidRPr="00B90724">
        <w:rPr>
          <w:lang w:val="en-US"/>
        </w:rPr>
        <w:instrText xml:space="preserve"> ADDIN ZOTERO_ITEM CSL_CITATION {"citationID":"lTaie28X","properties":{"formattedCitation":"[120]","plainCitation":"[120]","noteIndex":0},"citationItems":[{"id":909,"uris":["http://zotero.org/users/local/L5HAWlIW/items/3VY9IBA4"],"itemData":{"id":909,"type":"article-journal","abstract":"Septic shock is a major burden to healthcare with mortality rates remaining high. Blood purification techniques aim to reduce cytokine levels and resultant organ failure. Regarding septic shock, hemoadsorption via CytoSorb seems promising, but the main effects on organ failure and mortality remain unclear. In this retrospective single-center study, septic shock patients receiving CytoSorb in addition to renal replacement therapy (n = 42) were analyzed and compared to matched controls (n = 42). A generalized propensity-score and Mahalanobis distance matching method (‘genetic’ matching) was applied. Baseline comparability was high. Differences were merely present in higher initial Sequential Organ Failure Assessment (SOFA) scores (median and interquartile range: 13.0 (12.0–14.75) vs. 12.0 (9.0–14.0)) and requirements of norepinephrine equivalents (0.54 (0.25–0.81) vs. 0.25 (0.05–0.54) µg/kg/min) in the CytoSorb group. While remaining fairly constant in the controls, the catecholamines decreased to 0.26 (0.11–0.40) µg/kg/min within 24 h after initiation of CytoSorb therapy. In-hospital mortality was significantly lower in the CytoSorb group (35.7% vs. 61.9%; p = 0.015). Risk factors for mortality within the CytoSorb group were high lactate levels and low thrombocyte counts prior to initiation. Hereby, a cut-off value of 7.5 mmol/L lactate predicted mortality with high specificity (88.9%). Thus, high lactate levels may indicate absent benefits when confronted with septic shock patients considered eligible for CytoSorb therapy.","container-title":"Biomedicines","DOI":"10.3390/biomedicines8120539","ISSN":"2227-9059","issue":"12","journalAbbreviation":"Biomedicines","language":"en","page":"539","source":"DOI.org (Crossref)","title":"Hemoadsorption with CytoSorb in Septic Shock Reduces Catecholamine Requirements and In-Hospital Mortality: A Single-Center Retrospective ‘Genetic’ Matched Analysis","title-short":"Hemoadsorption with CytoSorb in Septic Shock Reduces Catecholamine Requirements and In-Hospital Mortality","volume":"8","author":[{"family":"Rugg","given":"Christopher"},{"family":"Klose","given":"Riko"},{"family":"Hornung","given":"Rouven"},{"family":"Innerhofer","given":"Nicole"},{"family":"Bachler","given":"Mirjam"},{"family":"Schmid","given":"Stefan"},{"family":"Fries","given":"Dietmar"},{"family":"Ströhle","given":"Mathias"}],"issued":{"date-parts":[["2020",11,26]]}}}],"schema":"https://github.com/citation-style-language/schema/raw/master/csl-citation.json"} </w:instrText>
      </w:r>
      <w:r w:rsidR="00CF04FE" w:rsidRPr="00B90724">
        <w:rPr>
          <w:lang w:val="en-US"/>
        </w:rPr>
        <w:fldChar w:fldCharType="separate"/>
      </w:r>
      <w:r w:rsidR="00A20273" w:rsidRPr="00B90724">
        <w:rPr>
          <w:rFonts w:cs="Times New Roman"/>
        </w:rPr>
        <w:t>[120]</w:t>
      </w:r>
      <w:r w:rsidR="00CF04FE" w:rsidRPr="00B90724">
        <w:rPr>
          <w:lang w:val="en-US"/>
        </w:rPr>
        <w:fldChar w:fldCharType="end"/>
      </w:r>
      <w:r w:rsidR="005155AD" w:rsidRPr="00B90724">
        <w:rPr>
          <w:lang w:val="en-US"/>
        </w:rPr>
        <w:t xml:space="preserve">. We were able to pool data on lactate levels and norepinephrine doses from six studies </w:t>
      </w:r>
      <w:r w:rsidR="00AF16AD" w:rsidRPr="00B90724">
        <w:rPr>
          <w:lang w:val="en-US"/>
        </w:rPr>
        <w:lastRenderedPageBreak/>
        <w:fldChar w:fldCharType="begin"/>
      </w:r>
      <w:r w:rsidR="000E3931" w:rsidRPr="00B90724">
        <w:rPr>
          <w:lang w:val="en-US"/>
        </w:rPr>
        <w:instrText xml:space="preserve"> ADDIN ZOTERO_ITEM CSL_CITATION {"citationID":"w1UWkY8r","properties":{"formattedCitation":"[70,72,76,82,88,91]","plainCitation":"[70,72,76,82,88,91]","noteIndex":0},"citationItems":[{"id":162,"uris":["http://zotero.org/users/local/L5HAWlIW/items/ZEUANS5S"],"itemData":{"id":162,"type":"article-journal","abstract":"Background High morbidity and mortality are frequently reported in intensive care patients suffering from severe sepsis with systemic inflammation. With the development of severe respiratory failure, extracorporeal membrane oxygenation (ECMO) is often required. In this study, cytokine adsorption therapy in combination with ECMO is applied in patients with acute respiratory distress syndrome (ARDS) due to severe pneumogenic sepsis. The efficacy of this therapy is evaluated compared with a historical cohort without hemoadsorption therapy. Methods Between January and May 2018, combined high-flow venovenous ECMO and CytoSorb therapy (CytoSorb filter connected to ECMO circuit) was applied in patients (n = 13) with pneumogenic sepsis and ARDS. These patients were prospectively included (CytoSorb group). Data from patients (n = 7) with pneumogenic sepsis and ECMO therapy were retrospectively analyzed (control group). Results All patients survived in the CytoSorb group, where the 30-day mortality rate reached 57% in the control group. After CytoSorb therapy, we instantly observed a significant reduction in procalcitonin (PCT) and C-reactive protein (CRP) levels compared with the control group. Within 48 hours, the initial high doses of catecholamine could be weaned off only in the CytoSorb group. Conclusions Our results indicate that CytoSorb in combination with ECMO is an effective therapy to prevent escalation of sepsis with rapid weaning off high-dose catecholamine infusions and quick reduction in PCT and CRP levels. Optimal timing of immunomodulatory therapy and impact on ECMO-related inflammation still need to be furtherly investigated.","container-title":"The Thoracic and cardiovascular surgeon","DOI":"10.1055/s-0040-1708479","issue":"03","note":"publisher: Georg Thieme Verlag","page":"246-251","title":"Combined Use of CytoSorb and ECMO in Patients with Severe Pneumogenic Sepsis","volume":"69","author":[{"family":"Akil","given":"A; Ziegeler","suffix":"S; Reichelt, J; Rehers, Stephanie; Abdalla, Omer; Semik, Michael; Fischer, Stefan"}],"issued":{"date-parts":[["2020"]]}}},{"id":127,"uris":["http://zotero.org/users/local/L5HAWlIW/items/E7E286NV"],"itemData":{"id":127,"type":"article-journal","abstract":"AIM: To investigate continuous renal replacement therapy (CRRT) with CytoSorb® cartridge for patients with life-threatening COVID-19 plus acute kidney injury (AKI), sepsis, acute respiratory distress syndrome (ARDS), and cytokine release syndrome (CRS). PATIENTS AND METHODS: Of 492 COVID-19 patients admitted to our intensive care unit (ICU), 50 had AKI necessitating CRRT (10.16%) and were enrolled in the study. Upon ICU admission, all had AKI, ARDS, septic shock, and CRS. In addition to CRRT with CytoSorb® , all received ARDS-net ventilation, prone positioning, plus empiric ribavirin, interferon beta-1b, antibiotics, hydrocortisone, and prophylactic anticoagulation. We retrospectively analyzed inflammatory biomarkers, oxygenation, organ function, duration of mechanical ventilation, ICU length-of-stay, and mortality on day-28 post-ICU admission. RESULTS: Patients were 49.64 ±8.90 years old (78% male) with body mass index of 26.70±2.76 kg/m2 . On ICU admission, mean Acute Physiology and Chronic Health Evaluation II, was 22.52±1.1. Sequential Organ Function Assessment (SOFA) score was 9.36±2.068 and the ratio of partial arterial pressure of oxygen to fractional inspired concentration of oxygen (PaO2 /FiO2 ) was 117.46±36.92. Duration of mechanical ventilation was 17.38±7.39 days, ICU length-of-stay was 20.70±8.83 days, and mortality 28 days post-ICU admission was 30%. Non-survivors had higher levels of inflammatory biomarkers, and more unresolved shock, ARDS, AKI, and pulmonary emboli (8% vs. 4 %, p 620 pg/ml) predicted in-hospital mortality for critically ill COVID-19 patients (area-under-the-curve: 0.87, 95% confidence-intervals: 0.81-0.93; p=0.001). No side effects of therapy were recorded. CONCLUSION: In this retrospective case-series, CRRT with the CytoSorb® cartridge provided a safe rescue therapy in life-threatening COVID-19 with associated AKI, ARDS, sepsis, and hyperinflammation.","container-title":"Artificial organs","DOI":"10.1111/aor.13864","issue":"5","note":"publisher: Wiley-Blackwell","page":"E101-E112","title":"Continuous renal replacement therapy with the addition of CytoSorb ® cartridge in critically ill patients with COVID-19 plus acute kidney injury: a case-series.","volume":"45","author":[{"family":"Alharthy","given":"Abdulrahman; Faqihi","suffix":"Fahad; Memish, Ziad A.; Balhamar, Abdullah; Nasim, Nasir; Shahzad, Ahmad; Tamim, Hani; Alqahtani, Saleh A.; Brindley, Peter G.; Karakitsos, Dimitrios"}],"issued":{"date-parts":[["2020"]]}}},{"id":1031,"uris":["http://zotero.org/users/local/L5HAWlIW/items/XD3S8C9H"],"itemData":{"id":1031,"type":"article-journal","abstract":"BACKGROUND AND AIM: Patients with severe coronavirus disease 2019 (COVID-19) develop a profound cytokine-mediated pro-inflammatory response. This study  reports outcomes in 10 patients with COVID-19 supported on veno-venous  extracorporeal membrane oxygenation (VV-ECMO) who were selected for the emergency  use of a hemoadsorption column integrated in the ECMO circuit. MATERIALS AND  METHODS: Pre and posttreatment, clinical data, and inflammatory markers were  assessed to determine the safety and feasibility of using this system and to  evaluate the clinical effect. RESULTS: During hemoadsorption, median levels of  interleukin (IL)-2R, IL-6, and IL-10 decreased by 54%, 86%, and 64%,  respectively. Reductions in other markers were observed for lactate dehydrogenase  (-49%), ferritin (-46%), d-dimer (-7%), C-reactive protein (-55%), procalcitonin  (-76%), and lactate (-44%). Vasoactive-inotrope scores decreased significantly  over the treatment interval (-80%). The median hospital length of stay was 53  days (36-85) and at 90-days post cannulation, survival was 90% which was similar  to a group of patients without the use of hemoadsorption. CONCLUSIONS: Addition  of hemoadsorption to VV-ECMO in patients with severe COVID-19 is feasible and  reduces measured cytokine levels. However, in this small series, the precise  impact on the overall clinical course and survival benefit still remains unknown.","container-title":"Journal of cardiac surgery","DOI":"10.1111/jocs.15785","ISSN":"1540-8191 0886-0440","issue":"11","journalAbbreviation":"J Card Surg","language":"eng","license":"© 2021 Wiley Periodicals LLC.","note":"publisher-place: United States\nPMID: 34219277 \nPMCID: PMC8447331","page":"4256-4264","title":"Hemoadsorption for management of patients on veno-venous ECMO support for severe COVID-19 acute respiratory distress syndrome.","volume":"36","author":[{"family":"Geraci","given":"Travis C."},{"family":"Kon","given":"Zachary N."},{"family":"Moazami","given":"Nader"},{"family":"Chang","given":"Stephanie H."},{"family":"Carillo","given":"Julius"},{"family":"Chen","given":"Stacey"},{"family":"Fargnoli","given":"Anthony"},{"family":"Alimi","given":"Marjan"},{"family":"Pass","given":"Harvey"},{"family":"Galloway","given":"Aubrey"},{"family":"Smith","given":"Deane E."}],"issued":{"date-parts":[["2021",11]]}}},{"id":113,"uris":["http://zotero.org/users/local/L5HAWlIW/items/PY5YV5F5"],"itemData":{"id":113,"type":"article-journal","container-title":"Artificial Organs","DOI":"10.1111/aor.14024","ISSN":"0160-564X, 1525-1594","issue":"11","journalAbbreviation":"Artificial Organs","language":"en","page":"1338-1347","source":"DOI.org (Crossref)","title":"Blood purification with CytoSorb in critically ill COVID‐19 patients: A case series of 26 patients","title-short":"Blood purification with CytoSorb in critically ill COVID‐19 patients","volume":"45","author":[{"family":"Nassiri","given":"Amir Ahmad"},{"family":"Hakemi","given":"Monir Sadat"},{"family":"Miri","given":"Mir Mohammad"},{"family":"Shahrami","given":"Reza"},{"family":"Koomleh","given":"Azadeh Ahmadi"},{"family":"Sabaghian","given":"Tahereh"}],"issued":{"date-parts":[["2021",11]]}}},{"id":331,"uris":["http://zotero.org/users/local/L5HAWlIW/items/ISGUAB37"],"itemData":{"id":331,"type":"article-journal","abstract":"Respiratory failure and systemic inflammation are paramount features of severe SARS-CoV-2 disease (COVID-19). Extracorporeal membrane oxygenation (ECMO) therapy has a potential role in patients with refractory disease. An inflammatory response due to blood contact with hemofilters, functioning as a synergic inflammatory stimulus, can lead to a hyperinflammatory state, relatable to cytokine release syndromes. After the first patient succumbed to a refractory vasodilatory shock believed to be due to hyperinflammatory state, a strategy of blood purification through cytokine adsorption therapy (CAT) with CytoSorb® was designed. In this case series, the authors describe the initial experience with such strategy. CAT was employed with no direct complications and helped controlling the inflammatory state, with all patients halting vasopressor support in 72 h and biomarker levels (C-reactive protein, ferritin, and interleukin-6) showing negative trends in most patients. Analysis of inflammatory biomarkers evolution highlighted 2 biomarker profiles related to the presence or absence of superinfection at the time of CAT implementation. In this case series of severe COVID-19 patients, 3 patients died - irreversible lung fibrosis, complications of critical hypoxemia before ECMO induction and complications of systemic anticoagulation were the causes. This case series aimed to contribute to the body of evidence substantiating CAT utilization in hyperinflammatory patients, namely, COVID-19 patients requiring ECMO rescue.","container-title":"Blood purification","DOI":"10.1159/000518712","issue":"9","page":"1-7","title":"Cytokine Adsorption Therapy during Extracorporeal Membrane Oxygenation in Adult Patients with COVID-19.","volume":"51","author":[{"family":"Rodeia","given":"Simão C; Martins","suffix":"Francisca Lopes; Fortuna, Philip; Bento, Luís"}],"issued":{"date-parts":[["2021"]]}}},{"id":124,"uris":["http://zotero.org/users/local/L5HAWlIW/items/PXLFIR4H"],"itemData":{"id":124,"type":"article-journal","abstract":"Introduction:\n              Severe cases of the COVID-19 are often associated with the development of a fulminant sepsis-like state with a concomitant cytokine release syndrome. Recently, immunomodulating approaches to treat such a hyperinflammation have come into focus, including the use of new extracorporeal organ support therapies such as CytoSorb hemoadsorption designed to remove cytokines and other circulating mediators from blood.\n            \n            \n              Patients and methods:\n              Thirteen critically ill COVID-19 patients with ARDS who received either ECMO therapy and/or CRRT with concomitant multiple organ failure were included. Hemoadsorption therapy was initiated once the patient had established—or was at high risk of developing—a hyperinflammatory state with marked hemodynamic instability or progressive lung failure. Levels of inflammatory markers, vasopressor requirements, oxygenation, and ventilation parameters were measured, as well as clinically relevant outcome measures.\n            \n            \n              Results:\n              Combined therapy was associated with a significant reduction in inflammatory mediators, hemodynamic stabilization with a concomitant decrease in requirements for vasoactive substances, and a pronounced improvement in lung function and the need for ventilatory support. Treatment appeared safe and well-tolerated.\n            \n            \n              Conclusions:\n              In this case series of SARS-CoV-2 infected patients admitted to the intensive care unit with ARDS, we report effective interleukin (IL)-6 removal, reduced norepinephrine requirement, and improved lung function while receiving adjuvant, extracorporeal hemoadsorption therapy in the context of a multimodal treatment approach. The presented protocol for CytoSorb initiation may be a good foundation for the development of further prospective studies in the field and may eventually also be applied to other forms of hyperinflammatory ARDS.","container-title":"The International Journal of Artificial Organs","DOI":"10.1177/03913988211030517","ISSN":"0391-3988, 1724-6040","issue":"10","journalAbbreviation":"Int J Artif Organs","language":"en","page":"694-702","source":"DOI.org (Crossref)","title":"Adjuvant hemoadsorption therapy in patients with severe COVID-19 and related organ failure requiring CRRT or ECMO therapy: A case series","title-short":"Adjuvant hemoadsorption therapy in patients with severe COVID-19 and related organ failure requiring CRRT or ECMO therapy","volume":"44","author":[{"family":"Wunderlich-Sperl","given":"Florian"},{"family":"Kautzky","given":"Sebastian"},{"family":"Pickem","given":"Christian"},{"family":"Hörmann","given":"Christoph"}],"issued":{"date-parts":[["2021",10]]}}}],"schema":"https://github.com/citation-style-language/schema/raw/master/csl-citation.json"} </w:instrText>
      </w:r>
      <w:r w:rsidR="00AF16AD" w:rsidRPr="00B90724">
        <w:rPr>
          <w:lang w:val="en-US"/>
        </w:rPr>
        <w:fldChar w:fldCharType="separate"/>
      </w:r>
      <w:r w:rsidR="000E3931" w:rsidRPr="00B90724">
        <w:rPr>
          <w:rFonts w:cs="Times New Roman"/>
        </w:rPr>
        <w:t>[70,72,76,82,88,91]</w:t>
      </w:r>
      <w:r w:rsidR="00AF16AD" w:rsidRPr="00B90724">
        <w:rPr>
          <w:lang w:val="en-US"/>
        </w:rPr>
        <w:fldChar w:fldCharType="end"/>
      </w:r>
      <w:r w:rsidR="00162475" w:rsidRPr="00B90724">
        <w:rPr>
          <w:lang w:val="en-US"/>
        </w:rPr>
        <w:t xml:space="preserve">, and the significant reduction in both outcomes after </w:t>
      </w:r>
      <w:proofErr w:type="spellStart"/>
      <w:r w:rsidR="00162475" w:rsidRPr="00B90724">
        <w:rPr>
          <w:lang w:val="en-US"/>
        </w:rPr>
        <w:t>orption</w:t>
      </w:r>
      <w:proofErr w:type="spellEnd"/>
      <w:r w:rsidR="00162475" w:rsidRPr="00B90724">
        <w:rPr>
          <w:lang w:val="en-US"/>
        </w:rPr>
        <w:t xml:space="preserve"> </w:t>
      </w:r>
      <w:r w:rsidR="00C70068" w:rsidRPr="00B90724">
        <w:rPr>
          <w:lang w:val="en-US"/>
        </w:rPr>
        <w:t>treatment</w:t>
      </w:r>
      <w:r w:rsidR="00162475" w:rsidRPr="00B90724">
        <w:rPr>
          <w:lang w:val="en-US"/>
        </w:rPr>
        <w:t xml:space="preserve"> </w:t>
      </w:r>
      <w:r w:rsidR="00BB0B86" w:rsidRPr="00B90724">
        <w:rPr>
          <w:lang w:val="en-US"/>
        </w:rPr>
        <w:t>w</w:t>
      </w:r>
      <w:r w:rsidR="00C70068" w:rsidRPr="00B90724">
        <w:rPr>
          <w:lang w:val="en-US"/>
        </w:rPr>
        <w:t>as</w:t>
      </w:r>
      <w:r w:rsidR="00BB0B86" w:rsidRPr="00B90724">
        <w:rPr>
          <w:lang w:val="en-US"/>
        </w:rPr>
        <w:t xml:space="preserve"> consistent with the </w:t>
      </w:r>
      <w:r w:rsidR="00C70068" w:rsidRPr="00B90724">
        <w:rPr>
          <w:lang w:val="en-US"/>
        </w:rPr>
        <w:t xml:space="preserve">results </w:t>
      </w:r>
      <w:r w:rsidR="00BB0B86" w:rsidRPr="00B90724">
        <w:rPr>
          <w:lang w:val="en-US"/>
        </w:rPr>
        <w:t>of prev</w:t>
      </w:r>
      <w:r w:rsidR="00C70068" w:rsidRPr="00B90724">
        <w:rPr>
          <w:lang w:val="en-US"/>
        </w:rPr>
        <w:t>i</w:t>
      </w:r>
      <w:r w:rsidR="00BB0B86" w:rsidRPr="00B90724">
        <w:rPr>
          <w:lang w:val="en-US"/>
        </w:rPr>
        <w:t>ous studies</w:t>
      </w:r>
      <w:r w:rsidR="00BD573F" w:rsidRPr="00B90724">
        <w:rPr>
          <w:lang w:val="en-US"/>
        </w:rPr>
        <w:t xml:space="preserve"> </w:t>
      </w:r>
      <w:r w:rsidR="00D60A87" w:rsidRPr="00B90724">
        <w:rPr>
          <w:lang w:val="en-US"/>
        </w:rPr>
        <w:fldChar w:fldCharType="begin"/>
      </w:r>
      <w:r w:rsidR="00A20273" w:rsidRPr="00B90724">
        <w:rPr>
          <w:lang w:val="en-US"/>
        </w:rPr>
        <w:instrText xml:space="preserve"> ADDIN ZOTERO_ITEM CSL_CITATION {"citationID":"NxIw6BG3","properties":{"formattedCitation":"[119]","plainCitation":"[119]","noteIndex":0},"citationItems":[{"id":347,"uris":["http://zotero.org/users/local/L5HAWlIW/items/VF5XJPBD"],"itemData":{"id":347,"type":"article-journal","abstract":"Hemodynamic instability due to dysregulated host response is a life-threatening condition requiring vasopressors and vital organ support. Hemoadsorption with Cytosorb has proven to be effective in reducing cytokines and possibly in attenuating the devastating effects of the cytokine storm originating from the immune over-response to the initial insult. We reviewed the PubMed database to assess evidence of the impact of Cytosorb on norepinephrine needs in the critically ill. We further analyzed those studies including data on control cohorts in a comparative pooled analysis, defining a treatment effect as the standardized mean differences in relative reductions in vasopressor dosage at 24 h. The literature search returned 33 eligible studies. We found evidence of a significant reduction in norepinephrine requirement after treatment: median before, 0.55 (IQR: 0.39–0.90); after, 0.09 (0.00–0.25) μg/kg/min, p &lt; 0.001. The pooled effect size at 24 h was large, though characterized by high heterogeneity. In light of the importance of a quick resolution of hemodynamic instability in the critically ill, further research is encouraged to enrich knowledge on the potentials of the therapy.","container-title":"Biomedicines","DOI":"10.3390/biomedicines9070768","issue":"7","page":"768-NA","title":"The Potential Role of Extracorporeal Cytokine Removal in Hemodynamic Stabilization in Hyperinflammatory Shock.","volume":"9","author":[{"family":"Hawchar","given":"Fatime; Rao","suffix":"Cristina; Akil, Ali; Mehta, Yatin; Rugg, Christopher; Scheier, Joerg; Adamson, Harriet; Deliargyris, Efthymios N; Molnár, Zsolt"}],"issued":{"date-parts":[["2021"]]}}}],"schema":"https://github.com/citation-style-language/schema/raw/master/csl-citation.json"} </w:instrText>
      </w:r>
      <w:r w:rsidR="00D60A87" w:rsidRPr="00B90724">
        <w:rPr>
          <w:lang w:val="en-US"/>
        </w:rPr>
        <w:fldChar w:fldCharType="separate"/>
      </w:r>
      <w:r w:rsidR="00A20273" w:rsidRPr="00B90724">
        <w:rPr>
          <w:rFonts w:cs="Times New Roman"/>
        </w:rPr>
        <w:t>[119]</w:t>
      </w:r>
      <w:r w:rsidR="00D60A87" w:rsidRPr="00B90724">
        <w:rPr>
          <w:lang w:val="en-US"/>
        </w:rPr>
        <w:fldChar w:fldCharType="end"/>
      </w:r>
      <w:r w:rsidR="00CF04FE" w:rsidRPr="00B90724">
        <w:rPr>
          <w:lang w:val="en-US"/>
        </w:rPr>
        <w:t>.</w:t>
      </w:r>
    </w:p>
    <w:p w14:paraId="24AEA5FF" w14:textId="1074215F" w:rsidR="00F019BD" w:rsidRPr="00B90724" w:rsidRDefault="00631131" w:rsidP="00A500AC">
      <w:pPr>
        <w:pStyle w:val="Heading3"/>
        <w:rPr>
          <w:szCs w:val="24"/>
          <w:lang w:val="en-US"/>
        </w:rPr>
      </w:pPr>
      <w:bookmarkStart w:id="97" w:name="_Toc211542225"/>
      <w:r w:rsidRPr="00B90724">
        <w:rPr>
          <w:szCs w:val="24"/>
          <w:lang w:val="en-US"/>
        </w:rPr>
        <w:t xml:space="preserve">9.2.3. </w:t>
      </w:r>
      <w:r w:rsidR="00F019BD" w:rsidRPr="00B90724">
        <w:rPr>
          <w:szCs w:val="24"/>
          <w:lang w:val="en-US"/>
        </w:rPr>
        <w:t>Effects on Oxygenation</w:t>
      </w:r>
      <w:bookmarkEnd w:id="97"/>
    </w:p>
    <w:p w14:paraId="39CA4272" w14:textId="542C9454" w:rsidR="00714558" w:rsidRPr="00B90724" w:rsidRDefault="005A08F0" w:rsidP="00714558">
      <w:pPr>
        <w:rPr>
          <w:lang w:val="en-US"/>
        </w:rPr>
      </w:pPr>
      <w:r w:rsidRPr="00B90724">
        <w:rPr>
          <w:lang w:val="en-US"/>
        </w:rPr>
        <w:t>A key finding of this study is the marked improvement in oxygenation following hemadsorption treatment, with an average increase of nea</w:t>
      </w:r>
      <w:r w:rsidR="009D58BF" w:rsidRPr="00B90724">
        <w:rPr>
          <w:lang w:val="en-US"/>
        </w:rPr>
        <w:t>r</w:t>
      </w:r>
      <w:r w:rsidRPr="00B90724">
        <w:rPr>
          <w:lang w:val="en-US"/>
        </w:rPr>
        <w:t xml:space="preserve">ly 70 mmHg in the </w:t>
      </w:r>
      <w:proofErr w:type="spellStart"/>
      <w:r w:rsidRPr="00B90724">
        <w:rPr>
          <w:lang w:val="en-US"/>
        </w:rPr>
        <w:t>PaO</w:t>
      </w:r>
      <w:proofErr w:type="spellEnd"/>
      <w:r w:rsidRPr="00B90724">
        <w:rPr>
          <w:lang w:val="en-US"/>
        </w:rPr>
        <w:t>₂/</w:t>
      </w:r>
      <w:proofErr w:type="spellStart"/>
      <w:r w:rsidRPr="00B90724">
        <w:rPr>
          <w:lang w:val="en-US"/>
        </w:rPr>
        <w:t>FiO</w:t>
      </w:r>
      <w:proofErr w:type="spellEnd"/>
      <w:r w:rsidRPr="00B90724">
        <w:rPr>
          <w:lang w:val="en-US"/>
        </w:rPr>
        <w:t>₂ ratio. This improvement is clinically significant, and not only in cases of severe ARDS—where even modest gains in oxygenation can be life-saving—but also in moderate or less severe presentations, where it may alter the whole clinical picture and treatment. Such an increase has the potential to reduce the need for escalation of ventilatory support, it may also impact decisions regarding other forms of adjunctive therapies (e.g., prone positioning or ECMO</w:t>
      </w:r>
      <w:proofErr w:type="gramStart"/>
      <w:r w:rsidRPr="00B90724">
        <w:rPr>
          <w:lang w:val="en-US"/>
        </w:rPr>
        <w:t>), and</w:t>
      </w:r>
      <w:proofErr w:type="gramEnd"/>
      <w:r w:rsidRPr="00B90724">
        <w:rPr>
          <w:lang w:val="en-US"/>
        </w:rPr>
        <w:t xml:space="preserve"> ultimately may improve overall clinical outcomes. </w:t>
      </w:r>
    </w:p>
    <w:p w14:paraId="784EC538" w14:textId="466EFC22" w:rsidR="006A434D" w:rsidRPr="00B90724" w:rsidRDefault="009E495A" w:rsidP="00714558">
      <w:pPr>
        <w:rPr>
          <w:lang w:val="en-US"/>
        </w:rPr>
      </w:pPr>
      <w:r w:rsidRPr="00B90724">
        <w:rPr>
          <w:lang w:val="en-US"/>
        </w:rPr>
        <w:t xml:space="preserve">The first RCT on sepsis-induced lung injury using the HA-330 device showed reduced TNF-α and IL-1 levels and improved oxygenation, lung injury scores, and outcomes. Most studies in our review supported these results, with significant </w:t>
      </w:r>
      <w:proofErr w:type="spellStart"/>
      <w:r w:rsidRPr="00B90724">
        <w:rPr>
          <w:lang w:val="en-US"/>
        </w:rPr>
        <w:t>PaO</w:t>
      </w:r>
      <w:proofErr w:type="spellEnd"/>
      <w:r w:rsidRPr="00B90724">
        <w:rPr>
          <w:lang w:val="en-US"/>
        </w:rPr>
        <w:t>₂/</w:t>
      </w:r>
      <w:proofErr w:type="spellStart"/>
      <w:r w:rsidRPr="00B90724">
        <w:rPr>
          <w:lang w:val="en-US"/>
        </w:rPr>
        <w:t>FiO</w:t>
      </w:r>
      <w:proofErr w:type="spellEnd"/>
      <w:r w:rsidRPr="00B90724">
        <w:rPr>
          <w:lang w:val="en-US"/>
        </w:rPr>
        <w:t xml:space="preserve">₂ improvement after </w:t>
      </w:r>
      <w:proofErr w:type="spellStart"/>
      <w:r w:rsidRPr="00B90724">
        <w:rPr>
          <w:lang w:val="en-US"/>
        </w:rPr>
        <w:t>hem</w:t>
      </w:r>
      <w:r w:rsidR="004A5249" w:rsidRPr="00B90724">
        <w:rPr>
          <w:lang w:val="en-US"/>
        </w:rPr>
        <w:t>o</w:t>
      </w:r>
      <w:r w:rsidRPr="00B90724">
        <w:rPr>
          <w:lang w:val="en-US"/>
        </w:rPr>
        <w:t>adsorption</w:t>
      </w:r>
      <w:proofErr w:type="spellEnd"/>
      <w:r w:rsidR="002376DC" w:rsidRPr="00B90724">
        <w:rPr>
          <w:lang w:val="en-US"/>
        </w:rPr>
        <w:t xml:space="preserve"> </w:t>
      </w:r>
      <w:r w:rsidR="001A58A2" w:rsidRPr="00B90724">
        <w:rPr>
          <w:lang w:val="en-US"/>
        </w:rPr>
        <w:fldChar w:fldCharType="begin"/>
      </w:r>
      <w:r w:rsidR="000E3931" w:rsidRPr="00B90724">
        <w:rPr>
          <w:lang w:val="en-US"/>
        </w:rPr>
        <w:instrText xml:space="preserve"> ADDIN ZOTERO_ITEM CSL_CITATION {"citationID":"8QhmavCJ","properties":{"formattedCitation":"[92]","plainCitation":"[92]","noteIndex":0},"citationItems":[{"id":907,"uris":["http://zotero.org/users/local/L5HAWlIW/items/KNHRHBVD"],"itemData":{"id":907,"type":"article-journal","container-title":"Therapeutic Apheresis and Dialysis","DOI":"10.1111/j.1744-9987.2012.01083.x","ISSN":"17449979","issue":"4","journalAbbreviation":"Ther Apher Dial","language":"en","page":"454-461","source":"DOI.org (Crossref)","title":"Effect on Extrapulmonary Sepsis-Induced Acute Lung Injury by Hemoperfusion With Neutral Microporous Resin Column: Effect of Hemoperfusion on Sepsis","title-short":"Effect on Extrapulmonary Sepsis-Induced Acute Lung Injury by Hemoperfusion With Neutral Microporous Resin Column","volume":"17","author":[{"family":"Huang","given":"Zhao"},{"family":"Wang","given":"Si-rong"},{"family":"Yang","given":"Zi-li"},{"family":"Liu","given":"Ji-yun"}],"issued":{"date-parts":[["2013",8]]}}}],"schema":"https://github.com/citation-style-language/schema/raw/master/csl-citation.json"} </w:instrText>
      </w:r>
      <w:r w:rsidR="001A58A2" w:rsidRPr="00B90724">
        <w:rPr>
          <w:lang w:val="en-US"/>
        </w:rPr>
        <w:fldChar w:fldCharType="separate"/>
      </w:r>
      <w:r w:rsidR="000E3931" w:rsidRPr="00B90724">
        <w:rPr>
          <w:rFonts w:cs="Times New Roman"/>
        </w:rPr>
        <w:t>[92]</w:t>
      </w:r>
      <w:r w:rsidR="001A58A2" w:rsidRPr="00B90724">
        <w:rPr>
          <w:lang w:val="en-US"/>
        </w:rPr>
        <w:fldChar w:fldCharType="end"/>
      </w:r>
      <w:r w:rsidR="002376DC" w:rsidRPr="00B90724">
        <w:rPr>
          <w:lang w:val="en-US"/>
        </w:rPr>
        <w:t xml:space="preserve">. </w:t>
      </w:r>
      <w:r w:rsidR="0045291B" w:rsidRPr="00B90724">
        <w:rPr>
          <w:lang w:val="en-US"/>
        </w:rPr>
        <w:t xml:space="preserve">In severe ARDS requiring ECMO, recent data suggest </w:t>
      </w:r>
      <w:r w:rsidR="000F24A3" w:rsidRPr="00B90724">
        <w:rPr>
          <w:lang w:val="en-US"/>
        </w:rPr>
        <w:t xml:space="preserve">that </w:t>
      </w:r>
      <w:proofErr w:type="spellStart"/>
      <w:r w:rsidR="0045291B" w:rsidRPr="00B90724">
        <w:rPr>
          <w:lang w:val="en-US"/>
        </w:rPr>
        <w:t>hem</w:t>
      </w:r>
      <w:r w:rsidR="004A5249" w:rsidRPr="00B90724">
        <w:rPr>
          <w:lang w:val="en-US"/>
        </w:rPr>
        <w:t>o</w:t>
      </w:r>
      <w:r w:rsidR="0045291B" w:rsidRPr="00B90724">
        <w:rPr>
          <w:lang w:val="en-US"/>
        </w:rPr>
        <w:t>adsorption</w:t>
      </w:r>
      <w:proofErr w:type="spellEnd"/>
      <w:r w:rsidR="0045291B" w:rsidRPr="00B90724">
        <w:rPr>
          <w:lang w:val="en-US"/>
        </w:rPr>
        <w:t xml:space="preserve"> may reduce inflammation and vasopressor </w:t>
      </w:r>
      <w:r w:rsidR="000F24A3" w:rsidRPr="00B90724">
        <w:rPr>
          <w:lang w:val="en-US"/>
        </w:rPr>
        <w:t xml:space="preserve">need </w:t>
      </w:r>
      <w:r w:rsidR="0045291B" w:rsidRPr="00B90724">
        <w:rPr>
          <w:lang w:val="en-US"/>
        </w:rPr>
        <w:t>while improving lung function</w:t>
      </w:r>
      <w:r w:rsidR="002376DC" w:rsidRPr="00B90724">
        <w:rPr>
          <w:lang w:val="en-US"/>
        </w:rPr>
        <w:t xml:space="preserve"> </w:t>
      </w:r>
      <w:r w:rsidR="00A10A32" w:rsidRPr="00B90724">
        <w:rPr>
          <w:lang w:val="en-US"/>
        </w:rPr>
        <w:fldChar w:fldCharType="begin"/>
      </w:r>
      <w:r w:rsidR="00A20273" w:rsidRPr="00B90724">
        <w:rPr>
          <w:lang w:val="en-US"/>
        </w:rPr>
        <w:instrText xml:space="preserve"> ADDIN ZOTERO_ITEM CSL_CITATION {"citationID":"kCQ1Ipof","properties":{"formattedCitation":"[121]","plainCitation":"[121]","noteIndex":0},"citationItems":[{"id":1441,"uris":["http://zotero.org/users/local/L5HAWlIW/items/KWC98FZ9"],"itemData":{"id":1441,"type":"article-journal","abstract":"Acute respiratory distress syndrome (ARDS) is associated with high morbidity and mortality. Adjunct hemoadsorption is increasingly utilized to target underlying hyperinflammation derived from ARDS. This article aims to review available data on the use of CytoSorb© therapy in combination with V-V ECMO in severe ARDS, and to assess the effects on inflammatory, laboratory and clinical parameters, as well as on patient outcomes. A systematic literature review was conducted and reported in compliance with principles derived from the Preferred Reporting Items for Systematic Reviews and Meta-Analyses (PRISMA) statement. When applicable, a before-and-after analysis for relevant biomarkers and clinical parameters was carried out. CytoSorb© use was associated with significant reductions in circulating levels of C-reactive protein and interleukin-6 (p = 0.039 and p = 0.049, respectively). Increases in PaO2/FiO2 reached significance as well (p = 0.028), while norepinephrine dosage reductions showed a non-significant trend (p = 0.067). Mortality rates in CytoSorb© patients tended to be lower than those of control groups of most included studies, which, however, were characterized by high heterogeneity and low power. In an exploratory analysis on 90-day mortality in COVID-19 patients supported with V-V ECMO, the therapy was associated with a significantly reduced risk of death. Based on the reviewed data, CytoSorb© therapy is able to reduce inflammation and potentially improves survival in ARDS patients treated with V-V ECMO. Early initiation of CytoSorb© in conjunction with ECMO might offer a new approach to enhance lung rest and promote recovery in patients with severe ARDS.","container-title":"Journal of Clinical Medicine","DOI":"10.3390/jcm11205990","ISSN":"2077-0383","issue":"20","journalAbbreviation":"JCM","language":"en","page":"5990","source":"DOI.org (Crossref)","title":"Use of CytoSorb© Hemoadsorption in Patients on Veno-Venous ECMO Support for Severe Acute Respiratory Distress Syndrome: A Systematic Review","title-short":"Use of CytoSorb© Hemoadsorption in Patients on Veno-Venous ECMO Support for Severe Acute Respiratory Distress Syndrome","volume":"11","author":[{"family":"Akil","given":"Ali"},{"family":"Napp","given":"L. Christian"},{"family":"Rao","given":"Cristina"},{"family":"Klaus","given":"Teresa"},{"family":"Scheier","given":"Joerg"},{"family":"Pappalardo","given":"Federico"}],"issued":{"date-parts":[["2022",10,11]]}}}],"schema":"https://github.com/citation-style-language/schema/raw/master/csl-citation.json"} </w:instrText>
      </w:r>
      <w:r w:rsidR="00A10A32" w:rsidRPr="00B90724">
        <w:rPr>
          <w:lang w:val="en-US"/>
        </w:rPr>
        <w:fldChar w:fldCharType="separate"/>
      </w:r>
      <w:r w:rsidR="00A20273" w:rsidRPr="00B90724">
        <w:rPr>
          <w:rFonts w:cs="Times New Roman"/>
        </w:rPr>
        <w:t>[121]</w:t>
      </w:r>
      <w:r w:rsidR="00A10A32" w:rsidRPr="00B90724">
        <w:rPr>
          <w:lang w:val="en-US"/>
        </w:rPr>
        <w:fldChar w:fldCharType="end"/>
      </w:r>
      <w:r w:rsidR="002376DC" w:rsidRPr="00B90724">
        <w:rPr>
          <w:lang w:val="en-US"/>
        </w:rPr>
        <w:t>.</w:t>
      </w:r>
      <w:r w:rsidR="0045291B" w:rsidRPr="00B90724">
        <w:rPr>
          <w:lang w:val="en-US"/>
        </w:rPr>
        <w:t xml:space="preserve"> Early combined use of ECMO and </w:t>
      </w:r>
      <w:proofErr w:type="spellStart"/>
      <w:r w:rsidR="0045291B" w:rsidRPr="00B90724">
        <w:rPr>
          <w:lang w:val="en-US"/>
        </w:rPr>
        <w:t>hem</w:t>
      </w:r>
      <w:r w:rsidR="004A5249" w:rsidRPr="00B90724">
        <w:rPr>
          <w:lang w:val="en-US"/>
        </w:rPr>
        <w:t>o</w:t>
      </w:r>
      <w:r w:rsidR="0045291B" w:rsidRPr="00B90724">
        <w:rPr>
          <w:lang w:val="en-US"/>
        </w:rPr>
        <w:t>adsorption</w:t>
      </w:r>
      <w:proofErr w:type="spellEnd"/>
      <w:r w:rsidR="0045291B" w:rsidRPr="00B90724">
        <w:rPr>
          <w:lang w:val="en-US"/>
        </w:rPr>
        <w:t xml:space="preserve"> could offer a new approach to enhance lung rest, warranting future investigation</w:t>
      </w:r>
      <w:r w:rsidR="002376DC" w:rsidRPr="00B90724">
        <w:rPr>
          <w:lang w:val="en-US"/>
        </w:rPr>
        <w:t xml:space="preserve"> </w:t>
      </w:r>
      <w:r w:rsidR="00FA4770" w:rsidRPr="00B90724">
        <w:rPr>
          <w:lang w:val="en-US"/>
        </w:rPr>
        <w:fldChar w:fldCharType="begin"/>
      </w:r>
      <w:r w:rsidR="000E3931" w:rsidRPr="00B90724">
        <w:rPr>
          <w:lang w:val="en-US"/>
        </w:rPr>
        <w:instrText xml:space="preserve"> ADDIN ZOTERO_ITEM CSL_CITATION {"citationID":"5vEDg95f","properties":{"formattedCitation":"[71]","plainCitation":"[71]","noteIndex":0},"citationItems":[{"id":327,"uris":["http://zotero.org/users/local/L5HAWlIW/items/F8WHZXRB"],"itemData":{"id":327,"type":"article-journal","abstract":"&lt;AbstractText Label=\"OBJECTIVE\" NlmCategory=\"UNASSIGNED\"&gt;Patients with severe manifestations of COVID-19 might exhibit characteristics of a sepsis-like syndrome that can progress to multiple organ failure and ultimately death. Underlying mechanism have been explored and suggest a profound dysregulation of the immune system associated with hyperinflammation, hemodynamic instability and respiratory failure. Besides standard intensive care treatment, approaches modulating the dysregulated immune response, such as CytoSorb hemoadsorption, have been used. However, data of ECMO-dependent patients in comparison to a control cohort remain scarce.&lt;/AbstractText&gt; &lt;AbstractText Label=\"METHODS\" NlmCategory=\"UNASSIGNED\"&gt;Included were 26 critically ill COVID-19 patients requiring high-flow veno-venous extracorporeal membrane oxygenation (high-flow VV ECMO) therapy due to severe acute respiratory distress syndrome (ARDS), of whom 16 were additionally treated with an extracorporeal hemoadsorption device, and compared to a control group of 10 patients. Assessed were levels of inflammatory markers, vasopressor requirements, oxygenation parameters, as well as clinically relevant outcome variables. Data were prospectively recorded and retrospectively analyzed.&lt;/AbstractText&gt; &lt;AbstractText Label=\"RESULTS\" NlmCategory=\"UNASSIGNED\"&gt;Treatment with the applied multimodal therapy approach resulted in a stabilization in hemodynamics, a control of the hyperinflammatory response as evidenced by a significant reduction in inflammatory mediators, as well as a marked improvement in lung function. No device related adverse events were observed while treatment appeared safe and feasible.&lt;/AbstractText&gt; &lt;AbstractText Label=\"CONCLUSION\" NlmCategory=\"UNASSIGNED\"&gt;Treatment of a critically ill COVID-19 ARDS patients with combined VV ECMO support and hemoadsorption therapy led to a rapid and sustained hemodynamic stabilization, a control of the uncontrolled inflammatory response and an improvement in oxygenation. Given these signals pointing toward a patient-oriented benefit of extracorporeal hemoadsorption therapy in those patients, future controlled, randomized studies should focus on the investigation of the appropriate timing and dosing of this promising treatment modality.&lt;/AbstractText&gt;","container-title":"The International journal of artificial organs","DOI":"10.1177/03913988221103287","issue":"7","page":"615-622","title":"Blood purification therapy in patients with severe COVID-19 requiring veno-venous ECMO therapy: A retrospective study.","volume":"45","author":[{"family":"Akil","given":"Ali; Ziegeler","suffix":"Stephan; Rehers, Stephanie; Ernst, Erik Christian; Fischer, Stefan"}],"issued":{"date-parts":[["2022"]]}}}],"schema":"https://github.com/citation-style-language/schema/raw/master/csl-citation.json"} </w:instrText>
      </w:r>
      <w:r w:rsidR="00FA4770" w:rsidRPr="00B90724">
        <w:rPr>
          <w:lang w:val="en-US"/>
        </w:rPr>
        <w:fldChar w:fldCharType="separate"/>
      </w:r>
      <w:r w:rsidR="000E3931" w:rsidRPr="00B90724">
        <w:rPr>
          <w:rFonts w:cs="Times New Roman"/>
        </w:rPr>
        <w:t>[71]</w:t>
      </w:r>
      <w:r w:rsidR="00FA4770" w:rsidRPr="00B90724">
        <w:rPr>
          <w:lang w:val="en-US"/>
        </w:rPr>
        <w:fldChar w:fldCharType="end"/>
      </w:r>
      <w:r w:rsidR="002376DC" w:rsidRPr="00B90724">
        <w:rPr>
          <w:lang w:val="en-US"/>
        </w:rPr>
        <w:t>.</w:t>
      </w:r>
      <w:r w:rsidR="00F74F56" w:rsidRPr="00B90724">
        <w:rPr>
          <w:lang w:val="en-US"/>
        </w:rPr>
        <w:t xml:space="preserve"> </w:t>
      </w:r>
      <w:r w:rsidR="008A3FE6" w:rsidRPr="00B90724">
        <w:rPr>
          <w:lang w:val="en-US"/>
        </w:rPr>
        <w:t xml:space="preserve">Regarding the limitations of this outcome in </w:t>
      </w:r>
      <w:r w:rsidR="005C49A9" w:rsidRPr="00B90724">
        <w:rPr>
          <w:lang w:val="en-US"/>
        </w:rPr>
        <w:t xml:space="preserve">out meta-analysis, it should be </w:t>
      </w:r>
      <w:proofErr w:type="gramStart"/>
      <w:r w:rsidR="005C49A9" w:rsidRPr="00B90724">
        <w:rPr>
          <w:lang w:val="en-US"/>
        </w:rPr>
        <w:t>mentioned,</w:t>
      </w:r>
      <w:proofErr w:type="gramEnd"/>
      <w:r w:rsidR="005C49A9" w:rsidRPr="00B90724">
        <w:rPr>
          <w:lang w:val="en-US"/>
        </w:rPr>
        <w:t xml:space="preserve"> </w:t>
      </w:r>
      <w:r w:rsidR="002C486C" w:rsidRPr="00B90724">
        <w:rPr>
          <w:lang w:val="en-US"/>
        </w:rPr>
        <w:t xml:space="preserve">that it was conducted on a </w:t>
      </w:r>
      <w:r w:rsidR="006A434D" w:rsidRPr="00B90724">
        <w:rPr>
          <w:lang w:val="en-US"/>
        </w:rPr>
        <w:t>markedly heterogeneous patient population and relied predominantly on case reports, which are particularly prone to reporting bias. In such a context of heterogeneity and low-level evidence, the observed improvement in oxygenation should be interpreted with caution and cannot be</w:t>
      </w:r>
      <w:r w:rsidR="00BD69F0" w:rsidRPr="00B90724">
        <w:rPr>
          <w:lang w:val="en-US"/>
        </w:rPr>
        <w:t xml:space="preserve"> clearly ascribed</w:t>
      </w:r>
      <w:r w:rsidR="006A434D" w:rsidRPr="00B90724">
        <w:rPr>
          <w:lang w:val="en-US"/>
        </w:rPr>
        <w:t xml:space="preserve"> solely to </w:t>
      </w:r>
      <w:proofErr w:type="spellStart"/>
      <w:r w:rsidR="006A434D" w:rsidRPr="00B90724">
        <w:rPr>
          <w:lang w:val="en-US"/>
        </w:rPr>
        <w:t>hemoadsorption</w:t>
      </w:r>
      <w:proofErr w:type="spellEnd"/>
      <w:r w:rsidR="006A434D" w:rsidRPr="00B90724">
        <w:rPr>
          <w:lang w:val="en-US"/>
        </w:rPr>
        <w:t>. Improvements in oxygenation may result from various pathophysiological mechanisms, such as better ventilation–perfusion matching or reduced diffusion distance, and are strongly influenced by multiple aspects of intensive care, including the underlying disease, the etiology of ARDS, ventilatory mode, patient positioning (supine or prone), the use of other organ support therapies such as CRRT or ECMO, and appropriate antimicrobial treatment.</w:t>
      </w:r>
    </w:p>
    <w:p w14:paraId="72679D37" w14:textId="0468CF45" w:rsidR="00F019BD" w:rsidRPr="00B90724" w:rsidRDefault="00631131" w:rsidP="00631131">
      <w:pPr>
        <w:pStyle w:val="Heading3"/>
        <w:rPr>
          <w:szCs w:val="24"/>
          <w:lang w:val="en-US"/>
        </w:rPr>
      </w:pPr>
      <w:bookmarkStart w:id="98" w:name="_Toc211542226"/>
      <w:r w:rsidRPr="00B90724">
        <w:rPr>
          <w:szCs w:val="24"/>
          <w:lang w:val="en-US"/>
        </w:rPr>
        <w:lastRenderedPageBreak/>
        <w:t xml:space="preserve">9.2.4. </w:t>
      </w:r>
      <w:proofErr w:type="spellStart"/>
      <w:r w:rsidRPr="00B90724">
        <w:rPr>
          <w:szCs w:val="24"/>
          <w:lang w:val="en-US"/>
        </w:rPr>
        <w:t>Hem</w:t>
      </w:r>
      <w:r w:rsidR="004A5249" w:rsidRPr="00B90724">
        <w:rPr>
          <w:szCs w:val="24"/>
          <w:lang w:val="en-US"/>
        </w:rPr>
        <w:t>o</w:t>
      </w:r>
      <w:r w:rsidRPr="00B90724">
        <w:rPr>
          <w:szCs w:val="24"/>
          <w:lang w:val="en-US"/>
        </w:rPr>
        <w:t>adsorption</w:t>
      </w:r>
      <w:proofErr w:type="spellEnd"/>
      <w:r w:rsidRPr="00B90724">
        <w:rPr>
          <w:szCs w:val="24"/>
          <w:lang w:val="en-US"/>
        </w:rPr>
        <w:t xml:space="preserve"> in </w:t>
      </w:r>
      <w:r w:rsidR="00F019BD" w:rsidRPr="00B90724">
        <w:rPr>
          <w:szCs w:val="24"/>
          <w:lang w:val="en-US"/>
        </w:rPr>
        <w:t>COVID-19</w:t>
      </w:r>
      <w:r w:rsidRPr="00B90724">
        <w:rPr>
          <w:szCs w:val="24"/>
          <w:lang w:val="en-US"/>
        </w:rPr>
        <w:t xml:space="preserve"> Patients</w:t>
      </w:r>
      <w:bookmarkEnd w:id="98"/>
    </w:p>
    <w:p w14:paraId="565081D9" w14:textId="3E0F089D" w:rsidR="00FA4770" w:rsidRPr="00B90724" w:rsidRDefault="00151918" w:rsidP="00FA4770">
      <w:pPr>
        <w:rPr>
          <w:lang w:val="en-US"/>
        </w:rPr>
      </w:pPr>
      <w:r w:rsidRPr="00B90724">
        <w:rPr>
          <w:lang w:val="en-US"/>
        </w:rPr>
        <w:t xml:space="preserve">The role of </w:t>
      </w:r>
      <w:proofErr w:type="spellStart"/>
      <w:r w:rsidRPr="00B90724">
        <w:rPr>
          <w:lang w:val="en-US"/>
        </w:rPr>
        <w:t>he</w:t>
      </w:r>
      <w:r w:rsidR="00457117" w:rsidRPr="00B90724">
        <w:rPr>
          <w:lang w:val="en-US"/>
        </w:rPr>
        <w:t>m</w:t>
      </w:r>
      <w:r w:rsidR="004A5249" w:rsidRPr="00B90724">
        <w:rPr>
          <w:lang w:val="en-US"/>
        </w:rPr>
        <w:t>o</w:t>
      </w:r>
      <w:r w:rsidRPr="00B90724">
        <w:rPr>
          <w:lang w:val="en-US"/>
        </w:rPr>
        <w:t>adsorption</w:t>
      </w:r>
      <w:proofErr w:type="spellEnd"/>
      <w:r w:rsidRPr="00B90724">
        <w:rPr>
          <w:lang w:val="en-US"/>
        </w:rPr>
        <w:t xml:space="preserve"> in COVID-19-related ARDS, influenced by varying phenotypes and inflammation levels, remains </w:t>
      </w:r>
      <w:r w:rsidR="00457117" w:rsidRPr="00B90724">
        <w:rPr>
          <w:lang w:val="en-US"/>
        </w:rPr>
        <w:t>controversial</w:t>
      </w:r>
      <w:r w:rsidR="000F24A3" w:rsidRPr="00B90724">
        <w:rPr>
          <w:lang w:val="en-US"/>
        </w:rPr>
        <w:t xml:space="preserve"> </w:t>
      </w:r>
      <w:r w:rsidRPr="00B90724">
        <w:rPr>
          <w:lang w:val="en-US"/>
        </w:rPr>
        <w:t xml:space="preserve">and is beyond </w:t>
      </w:r>
      <w:r w:rsidR="000F24A3" w:rsidRPr="00B90724">
        <w:rPr>
          <w:lang w:val="en-US"/>
        </w:rPr>
        <w:t xml:space="preserve">the scope of </w:t>
      </w:r>
      <w:r w:rsidRPr="00B90724">
        <w:rPr>
          <w:lang w:val="en-US"/>
        </w:rPr>
        <w:t xml:space="preserve">this review. Still, nearly half </w:t>
      </w:r>
      <w:r w:rsidR="000F24A3" w:rsidRPr="00B90724">
        <w:rPr>
          <w:lang w:val="en-US"/>
        </w:rPr>
        <w:t xml:space="preserve">of </w:t>
      </w:r>
      <w:r w:rsidRPr="00B90724">
        <w:rPr>
          <w:lang w:val="en-US"/>
        </w:rPr>
        <w:t>the included studies involved COVID-19 patients, reflecting heightened interest during the pandemic</w:t>
      </w:r>
      <w:r w:rsidR="00BD573F" w:rsidRPr="00B90724">
        <w:rPr>
          <w:lang w:val="en-US"/>
        </w:rPr>
        <w:t xml:space="preserve"> </w:t>
      </w:r>
      <w:r w:rsidR="00F20731" w:rsidRPr="00B90724">
        <w:rPr>
          <w:lang w:val="en-US"/>
        </w:rPr>
        <w:fldChar w:fldCharType="begin"/>
      </w:r>
      <w:r w:rsidR="00A20273" w:rsidRPr="00B90724">
        <w:rPr>
          <w:lang w:val="en-US"/>
        </w:rPr>
        <w:instrText xml:space="preserve"> ADDIN ZOTERO_ITEM CSL_CITATION {"citationID":"McS6LBiX","properties":{"formattedCitation":"[122]","plainCitation":"[122]","noteIndex":0},"citationItems":[{"id":915,"uris":["http://zotero.org/users/local/L5HAWlIW/items/F8ARSZM7"],"itemData":{"id":915,"type":"article-journal","abstract":"The COVID-19 pandemic has led to the biggest global health crisis of our lifetime. There is accumulating evidence that a substantial number of critically ill COVID-19 patients exhibit a dysregulated host response manifesting as cytokine storm or cytokine release syndrome, which in turn contributes to the high observed rates of mortality. Just as in other hyperinflammatory conditions, extracorporeal cytokine removal may have potential beneficial effects in this subgroup of COVID-19 patients. The CytoSorb blood purification device is the most extensively investigated cytokine removal platform with considerable evidence suggesting that early intervention can provide rapid hemodynamic stabilization and improvement in vital organ functions. The purpose of this review is to provide an overview of the pathophysiological background of hyperinflammation in COVID-19 and to summarize the currently available evidence on the effects of hemoadsorption in these patients.","container-title":"Critical Care Research and Practice","DOI":"10.1155/2021/7769516","ISSN":"2090-1313, 2090-1305","journalAbbreviation":"Critical Care Research and Practice","language":"en","page":"1-10","source":"DOI.org (Crossref)","title":"The Use of CytoSorb Therapy in Critically Ill COVID-19 Patients: Review of the Rationale and Current Clinical Experiences","title-short":"The Use of CytoSorb Therapy in Critically Ill COVID-19 Patients","volume":"2021","author":[{"family":"Ruiz-Rodríguez","given":"Juan Carlos"},{"family":"Molnar","given":"Zsolt"},{"family":"Deliargyris","given":"Efthymios N."},{"family":"Ferrer","given":"Ricard"}],"editor":[{"family":"Tisherman","given":"Samuel A."}],"issued":{"date-parts":[["2021",7,17]]}}}],"schema":"https://github.com/citation-style-language/schema/raw/master/csl-citation.json"} </w:instrText>
      </w:r>
      <w:r w:rsidR="00F20731" w:rsidRPr="00B90724">
        <w:rPr>
          <w:lang w:val="en-US"/>
        </w:rPr>
        <w:fldChar w:fldCharType="separate"/>
      </w:r>
      <w:r w:rsidR="00A20273" w:rsidRPr="00B90724">
        <w:rPr>
          <w:rFonts w:cs="Times New Roman"/>
        </w:rPr>
        <w:t>[122]</w:t>
      </w:r>
      <w:r w:rsidR="00F20731" w:rsidRPr="00B90724">
        <w:rPr>
          <w:lang w:val="en-US"/>
        </w:rPr>
        <w:fldChar w:fldCharType="end"/>
      </w:r>
      <w:r w:rsidR="00BD573F" w:rsidRPr="00B90724">
        <w:rPr>
          <w:lang w:val="en-US"/>
        </w:rPr>
        <w:t>.</w:t>
      </w:r>
      <w:r w:rsidR="000830E2" w:rsidRPr="00B90724">
        <w:rPr>
          <w:lang w:val="en-US"/>
        </w:rPr>
        <w:t xml:space="preserve"> In our COVID-19 subgroup analysis, only the </w:t>
      </w:r>
      <w:proofErr w:type="spellStart"/>
      <w:r w:rsidR="000830E2" w:rsidRPr="00B90724">
        <w:rPr>
          <w:lang w:val="en-US"/>
        </w:rPr>
        <w:t>PaO</w:t>
      </w:r>
      <w:proofErr w:type="spellEnd"/>
      <w:r w:rsidR="000830E2" w:rsidRPr="00B90724">
        <w:rPr>
          <w:lang w:val="en-US"/>
        </w:rPr>
        <w:t>₂/</w:t>
      </w:r>
      <w:proofErr w:type="spellStart"/>
      <w:r w:rsidR="000830E2" w:rsidRPr="00B90724">
        <w:rPr>
          <w:lang w:val="en-US"/>
        </w:rPr>
        <w:t>FiO</w:t>
      </w:r>
      <w:proofErr w:type="spellEnd"/>
      <w:r w:rsidR="000830E2" w:rsidRPr="00B90724">
        <w:rPr>
          <w:lang w:val="en-US"/>
        </w:rPr>
        <w:t>₂ improvement remained statistically significant, though other outcomes showed similar trends to the overall population. This may be due to the smaller sample size.</w:t>
      </w:r>
    </w:p>
    <w:p w14:paraId="49E5CC17" w14:textId="64B38BCB" w:rsidR="007F5178" w:rsidRPr="00B90724" w:rsidRDefault="00631131" w:rsidP="00631131">
      <w:pPr>
        <w:pStyle w:val="Heading3"/>
        <w:rPr>
          <w:szCs w:val="24"/>
          <w:lang w:val="en-US"/>
        </w:rPr>
      </w:pPr>
      <w:bookmarkStart w:id="99" w:name="_Toc211542227"/>
      <w:r w:rsidRPr="00B90724">
        <w:rPr>
          <w:szCs w:val="24"/>
          <w:lang w:val="en-US"/>
        </w:rPr>
        <w:t xml:space="preserve">9.2.5. </w:t>
      </w:r>
      <w:r w:rsidR="005A4A75" w:rsidRPr="00B90724">
        <w:rPr>
          <w:szCs w:val="24"/>
          <w:lang w:val="en-US"/>
        </w:rPr>
        <w:t xml:space="preserve">Procedure </w:t>
      </w:r>
      <w:r w:rsidR="00F019BD" w:rsidRPr="00B90724">
        <w:rPr>
          <w:szCs w:val="24"/>
          <w:lang w:val="en-US"/>
        </w:rPr>
        <w:t>S</w:t>
      </w:r>
      <w:r w:rsidR="005A4A75" w:rsidRPr="00B90724">
        <w:rPr>
          <w:szCs w:val="24"/>
          <w:lang w:val="en-US"/>
        </w:rPr>
        <w:t>afety and Mortality</w:t>
      </w:r>
      <w:bookmarkEnd w:id="99"/>
    </w:p>
    <w:p w14:paraId="41DAE4CE" w14:textId="2073596A" w:rsidR="00D06C3E" w:rsidRPr="00B90724" w:rsidRDefault="00D42551" w:rsidP="00D06C3E">
      <w:pPr>
        <w:rPr>
          <w:lang w:val="en-US"/>
        </w:rPr>
      </w:pPr>
      <w:r w:rsidRPr="00B90724">
        <w:rPr>
          <w:lang w:val="en-US"/>
        </w:rPr>
        <w:t>None of the included studies reported major treatment-related adverse events. Bleeding was not observed, and thrombocytopenia—an expected risk—was analyzed in only three studies</w:t>
      </w:r>
      <w:r w:rsidR="00BD573F" w:rsidRPr="00B90724">
        <w:rPr>
          <w:lang w:val="en-US"/>
        </w:rPr>
        <w:t xml:space="preserve"> </w:t>
      </w:r>
      <w:r w:rsidR="000967DC" w:rsidRPr="00B90724">
        <w:rPr>
          <w:lang w:val="en-US"/>
        </w:rPr>
        <w:fldChar w:fldCharType="begin"/>
      </w:r>
      <w:r w:rsidR="000E3931" w:rsidRPr="00B90724">
        <w:rPr>
          <w:lang w:val="en-US"/>
        </w:rPr>
        <w:instrText xml:space="preserve"> ADDIN ZOTERO_ITEM CSL_CITATION {"citationID":"hVkwCGAY","properties":{"formattedCitation":"[72,76,91]","plainCitation":"[72,76,91]","noteIndex":0},"citationItems":[{"id":127,"uris":["http://zotero.org/users/local/L5HAWlIW/items/E7E286NV"],"itemData":{"id":127,"type":"article-journal","abstract":"AIM: To investigate continuous renal replacement therapy (CRRT) with CytoSorb® cartridge for patients with life-threatening COVID-19 plus acute kidney injury (AKI), sepsis, acute respiratory distress syndrome (ARDS), and cytokine release syndrome (CRS). PATIENTS AND METHODS: Of 492 COVID-19 patients admitted to our intensive care unit (ICU), 50 had AKI necessitating CRRT (10.16%) and were enrolled in the study. Upon ICU admission, all had AKI, ARDS, septic shock, and CRS. In addition to CRRT with CytoSorb® , all received ARDS-net ventilation, prone positioning, plus empiric ribavirin, interferon beta-1b, antibiotics, hydrocortisone, and prophylactic anticoagulation. We retrospectively analyzed inflammatory biomarkers, oxygenation, organ function, duration of mechanical ventilation, ICU length-of-stay, and mortality on day-28 post-ICU admission. RESULTS: Patients were 49.64 ±8.90 years old (78% male) with body mass index of 26.70±2.76 kg/m2 . On ICU admission, mean Acute Physiology and Chronic Health Evaluation II, was 22.52±1.1. Sequential Organ Function Assessment (SOFA) score was 9.36±2.068 and the ratio of partial arterial pressure of oxygen to fractional inspired concentration of oxygen (PaO2 /FiO2 ) was 117.46±36.92. Duration of mechanical ventilation was 17.38±7.39 days, ICU length-of-stay was 20.70±8.83 days, and mortality 28 days post-ICU admission was 30%. Non-survivors had higher levels of inflammatory biomarkers, and more unresolved shock, ARDS, AKI, and pulmonary emboli (8% vs. 4 %, p 620 pg/ml) predicted in-hospital mortality for critically ill COVID-19 patients (area-under-the-curve: 0.87, 95% confidence-intervals: 0.81-0.93; p=0.001). No side effects of therapy were recorded. CONCLUSION: In this retrospective case-series, CRRT with the CytoSorb® cartridge provided a safe rescue therapy in life-threatening COVID-19 with associated AKI, ARDS, sepsis, and hyperinflammation.","container-title":"Artificial organs","DOI":"10.1111/aor.13864","issue":"5","note":"publisher: Wiley-Blackwell","page":"E101-E112","title":"Continuous renal replacement therapy with the addition of CytoSorb ® cartridge in critically ill patients with COVID-19 plus acute kidney injury: a case-series.","volume":"45","author":[{"family":"Alharthy","given":"Abdulrahman; Faqihi","suffix":"Fahad; Memish, Ziad A.; Balhamar, Abdullah; Nasim, Nasir; Shahzad, Ahmad; Tamim, Hani; Alqahtani, Saleh A.; Brindley, Peter G.; Karakitsos, Dimitrios"}],"issued":{"date-parts":[["2020"]]}}},{"id":1031,"uris":["http://zotero.org/users/local/L5HAWlIW/items/XD3S8C9H"],"itemData":{"id":1031,"type":"article-journal","abstract":"BACKGROUND AND AIM: Patients with severe coronavirus disease 2019 (COVID-19) develop a profound cytokine-mediated pro-inflammatory response. This study  reports outcomes in 10 patients with COVID-19 supported on veno-venous  extracorporeal membrane oxygenation (VV-ECMO) who were selected for the emergency  use of a hemoadsorption column integrated in the ECMO circuit. MATERIALS AND  METHODS: Pre and posttreatment, clinical data, and inflammatory markers were  assessed to determine the safety and feasibility of using this system and to  evaluate the clinical effect. RESULTS: During hemoadsorption, median levels of  interleukin (IL)-2R, IL-6, and IL-10 decreased by 54%, 86%, and 64%,  respectively. Reductions in other markers were observed for lactate dehydrogenase  (-49%), ferritin (-46%), d-dimer (-7%), C-reactive protein (-55%), procalcitonin  (-76%), and lactate (-44%). Vasoactive-inotrope scores decreased significantly  over the treatment interval (-80%). The median hospital length of stay was 53  days (36-85) and at 90-days post cannulation, survival was 90% which was similar  to a group of patients without the use of hemoadsorption. CONCLUSIONS: Addition  of hemoadsorption to VV-ECMO in patients with severe COVID-19 is feasible and  reduces measured cytokine levels. However, in this small series, the precise  impact on the overall clinical course and survival benefit still remains unknown.","container-title":"Journal of cardiac surgery","DOI":"10.1111/jocs.15785","ISSN":"1540-8191 0886-0440","issue":"11","journalAbbreviation":"J Card Surg","language":"eng","license":"© 2021 Wiley Periodicals LLC.","note":"publisher-place: United States\nPMID: 34219277 \nPMCID: PMC8447331","page":"4256-4264","title":"Hemoadsorption for management of patients on veno-venous ECMO support for severe COVID-19 acute respiratory distress syndrome.","volume":"36","author":[{"family":"Geraci","given":"Travis C."},{"family":"Kon","given":"Zachary N."},{"family":"Moazami","given":"Nader"},{"family":"Chang","given":"Stephanie H."},{"family":"Carillo","given":"Julius"},{"family":"Chen","given":"Stacey"},{"family":"Fargnoli","given":"Anthony"},{"family":"Alimi","given":"Marjan"},{"family":"Pass","given":"Harvey"},{"family":"Galloway","given":"Aubrey"},{"family":"Smith","given":"Deane E."}],"issued":{"date-parts":[["2021",11]]}}},{"id":124,"uris":["http://zotero.org/users/local/L5HAWlIW/items/PXLFIR4H"],"itemData":{"id":124,"type":"article-journal","abstract":"Introduction:\n              Severe cases of the COVID-19 are often associated with the development of a fulminant sepsis-like state with a concomitant cytokine release syndrome. Recently, immunomodulating approaches to treat such a hyperinflammation have come into focus, including the use of new extracorporeal organ support therapies such as CytoSorb hemoadsorption designed to remove cytokines and other circulating mediators from blood.\n            \n            \n              Patients and methods:\n              Thirteen critically ill COVID-19 patients with ARDS who received either ECMO therapy and/or CRRT with concomitant multiple organ failure were included. Hemoadsorption therapy was initiated once the patient had established—or was at high risk of developing—a hyperinflammatory state with marked hemodynamic instability or progressive lung failure. Levels of inflammatory markers, vasopressor requirements, oxygenation, and ventilation parameters were measured, as well as clinically relevant outcome measures.\n            \n            \n              Results:\n              Combined therapy was associated with a significant reduction in inflammatory mediators, hemodynamic stabilization with a concomitant decrease in requirements for vasoactive substances, and a pronounced improvement in lung function and the need for ventilatory support. Treatment appeared safe and well-tolerated.\n            \n            \n              Conclusions:\n              In this case series of SARS-CoV-2 infected patients admitted to the intensive care unit with ARDS, we report effective interleukin (IL)-6 removal, reduced norepinephrine requirement, and improved lung function while receiving adjuvant, extracorporeal hemoadsorption therapy in the context of a multimodal treatment approach. The presented protocol for CytoSorb initiation may be a good foundation for the development of further prospective studies in the field and may eventually also be applied to other forms of hyperinflammatory ARDS.","container-title":"The International Journal of Artificial Organs","DOI":"10.1177/03913988211030517","ISSN":"0391-3988, 1724-6040","issue":"10","journalAbbreviation":"Int J Artif Organs","language":"en","page":"694-702","source":"DOI.org (Crossref)","title":"Adjuvant hemoadsorption therapy in patients with severe COVID-19 and related organ failure requiring CRRT or ECMO therapy: A case series","title-short":"Adjuvant hemoadsorption therapy in patients with severe COVID-19 and related organ failure requiring CRRT or ECMO therapy","volume":"44","author":[{"family":"Wunderlich-Sperl","given":"Florian"},{"family":"Kautzky","given":"Sebastian"},{"family":"Pickem","given":"Christian"},{"family":"Hörmann","given":"Christoph"}],"issued":{"date-parts":[["2021",10]]}}}],"schema":"https://github.com/citation-style-language/schema/raw/master/csl-citation.json"} </w:instrText>
      </w:r>
      <w:r w:rsidR="000967DC" w:rsidRPr="00B90724">
        <w:rPr>
          <w:lang w:val="en-US"/>
        </w:rPr>
        <w:fldChar w:fldCharType="separate"/>
      </w:r>
      <w:r w:rsidR="000E3931" w:rsidRPr="00B90724">
        <w:rPr>
          <w:rFonts w:cs="Times New Roman"/>
        </w:rPr>
        <w:t>[72,76,91]</w:t>
      </w:r>
      <w:r w:rsidR="000967DC" w:rsidRPr="00B90724">
        <w:rPr>
          <w:lang w:val="en-US"/>
        </w:rPr>
        <w:fldChar w:fldCharType="end"/>
      </w:r>
      <w:r w:rsidRPr="00B90724">
        <w:rPr>
          <w:lang w:val="en-US"/>
        </w:rPr>
        <w:t>, showing a non-significant drop in platelet count</w:t>
      </w:r>
      <w:r w:rsidR="000F24A3" w:rsidRPr="00B90724">
        <w:rPr>
          <w:lang w:val="en-US"/>
        </w:rPr>
        <w:t>s</w:t>
      </w:r>
      <w:r w:rsidRPr="00B90724">
        <w:rPr>
          <w:lang w:val="en-US"/>
        </w:rPr>
        <w:t xml:space="preserve"> without serious</w:t>
      </w:r>
      <w:r w:rsidR="000F24A3" w:rsidRPr="00B90724">
        <w:rPr>
          <w:lang w:val="en-US"/>
        </w:rPr>
        <w:t>,</w:t>
      </w:r>
      <w:r w:rsidRPr="00B90724">
        <w:rPr>
          <w:lang w:val="en-US"/>
        </w:rPr>
        <w:t xml:space="preserve"> </w:t>
      </w:r>
      <w:r w:rsidR="000F24A3" w:rsidRPr="00B90724">
        <w:rPr>
          <w:lang w:val="en-US"/>
        </w:rPr>
        <w:t xml:space="preserve">relevant </w:t>
      </w:r>
      <w:r w:rsidR="00457117" w:rsidRPr="00B90724">
        <w:rPr>
          <w:lang w:val="en-US"/>
        </w:rPr>
        <w:t>consequences</w:t>
      </w:r>
      <w:r w:rsidRPr="00B90724">
        <w:rPr>
          <w:lang w:val="en-US"/>
        </w:rPr>
        <w:t xml:space="preserve">. </w:t>
      </w:r>
      <w:r w:rsidR="000F24A3" w:rsidRPr="00B90724">
        <w:rPr>
          <w:lang w:val="en-US"/>
        </w:rPr>
        <w:t xml:space="preserve">It is </w:t>
      </w:r>
      <w:r w:rsidRPr="00B90724">
        <w:rPr>
          <w:lang w:val="en-US"/>
        </w:rPr>
        <w:t xml:space="preserve">unclear whether this is due to </w:t>
      </w:r>
      <w:proofErr w:type="spellStart"/>
      <w:r w:rsidR="00457117" w:rsidRPr="00B90724">
        <w:rPr>
          <w:lang w:val="en-US"/>
        </w:rPr>
        <w:t>hem</w:t>
      </w:r>
      <w:r w:rsidR="004A5249" w:rsidRPr="00B90724">
        <w:rPr>
          <w:lang w:val="en-US"/>
        </w:rPr>
        <w:t>o</w:t>
      </w:r>
      <w:r w:rsidR="00457117" w:rsidRPr="00B90724">
        <w:rPr>
          <w:lang w:val="en-US"/>
        </w:rPr>
        <w:t>adsorption</w:t>
      </w:r>
      <w:proofErr w:type="spellEnd"/>
      <w:r w:rsidRPr="00B90724">
        <w:rPr>
          <w:lang w:val="en-US"/>
        </w:rPr>
        <w:t xml:space="preserve"> or extracorporeal circulation. One small RCT in COVID-19 patients reported worse 30-day survival with early </w:t>
      </w:r>
      <w:proofErr w:type="spellStart"/>
      <w:r w:rsidR="00457117" w:rsidRPr="00B90724">
        <w:rPr>
          <w:lang w:val="en-US"/>
        </w:rPr>
        <w:t>hem</w:t>
      </w:r>
      <w:r w:rsidR="004A5249" w:rsidRPr="00B90724">
        <w:rPr>
          <w:lang w:val="en-US"/>
        </w:rPr>
        <w:t>o</w:t>
      </w:r>
      <w:r w:rsidR="00457117" w:rsidRPr="00B90724">
        <w:rPr>
          <w:lang w:val="en-US"/>
        </w:rPr>
        <w:t>adsorption</w:t>
      </w:r>
      <w:proofErr w:type="spellEnd"/>
      <w:r w:rsidRPr="00B90724">
        <w:rPr>
          <w:lang w:val="en-US"/>
        </w:rPr>
        <w:t xml:space="preserve"> during ECMO</w:t>
      </w:r>
      <w:r w:rsidR="00BD573F" w:rsidRPr="00B90724">
        <w:rPr>
          <w:lang w:val="en-US"/>
        </w:rPr>
        <w:t xml:space="preserve"> </w:t>
      </w:r>
      <w:r w:rsidR="007A76C1" w:rsidRPr="00B90724">
        <w:rPr>
          <w:lang w:val="en-US"/>
        </w:rPr>
        <w:fldChar w:fldCharType="begin"/>
      </w:r>
      <w:r w:rsidR="000E3931" w:rsidRPr="00B90724">
        <w:rPr>
          <w:lang w:val="en-US"/>
        </w:rPr>
        <w:instrText xml:space="preserve"> ADDIN ZOTERO_ITEM CSL_CITATION {"citationID":"X0wKCvka","properties":{"formattedCitation":"[24]","plainCitation":"[24]","noteIndex":0},"citationItems":[{"id":421,"uris":["http://zotero.org/users/local/L5HAWlIW/items/CBZA97VA"],"itemData":{"id":421,"type":"article-journal","abstract":"BACKGROUND: We sought to clarify the benefit of cytokine adsorption in patients with COVID-19 supported with venovenous extracorporeal membrane oxygenation (ECMO). METHODS: We did a single-centre, open-label, randomised, controlled trial to investigate cytokine adsorption in adult patients with severe COVID-19 pneumonia requiring ECMO. Patients with COVID-19 selected for ECMO at the Freiburg University Medical Center (Freiburg, Germany) were randomly assigned (1:1) to receive cytokine adsorption using the CytoSorb device or not. Randomisation was computer-generated, allocation was concealed by opaque, sequentially numbered sealed envelopes. The CytoSorb device was incorporated into the ECMO circuit before connection to the patient circuit, replaced every 24 h, and removed after 72 h. The primary endpoint was serum interleukin-6 (IL-6) concentration 72 h after initiation of ECMO analysed by intention to treat. Secondary endpoints included 30-day survival. The trial is registered with ClinicalTrials.gov (NCT04324528) and the German Clinical Trials Register (DRKS00021300) and is closed. FINDINGS: From March 29, 2020, to Dec 29, 2020, of 34 patients assessed for eligibility, 17 (50%) were treated with cytokine adsorption and 17 (50%) without. Median IL-6 decreased from 357·0 pg/mL to 98·6 pg/mL in patients randomly assigned to cytokine adsorption and from 289·0 pg/mL to 112·0 pg/mL in the control group after 72 h. One patient in each group died before 72 h. Adjusted mean log IL-6 concentrations after 72 h were 0·30 higher in the cytokine adsorption group (95% CI -0·70 to 1·30, p=0·54). Survival after 30 days was three (18%) of 17 with cytokine adsorption and 13 (76%) of 17 without cytokine adsorption (p=0·0016). INTERPRETATION: Early initiation of cytokine adsorption in patients with severe COVID-19 and venovenous ECMO did not reduce serum IL-6 and had a negative effect on survival. Cytokine adsorption should not be used during the first days of ECMO support in COVID-19. FUNDING: None.","container-title":"The Lancet. Respiratory medicine","DOI":"10.1016/s2213-2600(21)00177-6","issue":"7","page":"755-762","title":"Cytokine adsorption in patients with severe COVID-19 pneumonia requiring extracorporeal membrane oxygenation (CYCOV): a single centre, open-label, randomised, controlled trial.","volume":"9","author":[{"family":"Supady","given":"Alexander; Weber","suffix":"Enya; Rieder, Marina; Lother, Achim; Niklaus, Tim; Zahn, Timm; Frech, Franziska; Müller, Sissi; Kuhl, Moritz; Benk, Christoph; Maier, Sven; Trummer, Georg; Flügler, Annabelle; Krüger, Kirsten; Sekandarzad, Asieb; Stachon, Peter; Zotzmann, Viviane; Bode, Christoph; Biever, Paul; Staudacher, Dawid L.; Wengenmayer, Tobias; Graf, Erika; Duerschmied, Daniel"}],"issued":{"date-parts":[["2021"]]}}}],"schema":"https://github.com/citation-style-language/schema/raw/master/csl-citation.json"} </w:instrText>
      </w:r>
      <w:r w:rsidR="007A76C1" w:rsidRPr="00B90724">
        <w:rPr>
          <w:lang w:val="en-US"/>
        </w:rPr>
        <w:fldChar w:fldCharType="separate"/>
      </w:r>
      <w:r w:rsidR="000E3931" w:rsidRPr="00B90724">
        <w:rPr>
          <w:rFonts w:cs="Times New Roman"/>
        </w:rPr>
        <w:t>[24]</w:t>
      </w:r>
      <w:r w:rsidR="007A76C1" w:rsidRPr="00B90724">
        <w:rPr>
          <w:lang w:val="en-US"/>
        </w:rPr>
        <w:fldChar w:fldCharType="end"/>
      </w:r>
      <w:r w:rsidRPr="00B90724">
        <w:rPr>
          <w:lang w:val="en-US"/>
        </w:rPr>
        <w:t xml:space="preserve">, but it had </w:t>
      </w:r>
      <w:r w:rsidR="000F24A3" w:rsidRPr="00B90724">
        <w:rPr>
          <w:lang w:val="en-US"/>
        </w:rPr>
        <w:t xml:space="preserve">several </w:t>
      </w:r>
      <w:r w:rsidRPr="00B90724">
        <w:rPr>
          <w:lang w:val="en-US"/>
        </w:rPr>
        <w:t xml:space="preserve">baseline imbalances, unusually low </w:t>
      </w:r>
      <w:r w:rsidR="00DF54B8" w:rsidRPr="00B90724">
        <w:rPr>
          <w:lang w:val="en-US"/>
        </w:rPr>
        <w:t>CG</w:t>
      </w:r>
      <w:r w:rsidRPr="00B90724">
        <w:rPr>
          <w:lang w:val="en-US"/>
        </w:rPr>
        <w:t xml:space="preserve"> mortality, and was underpowered. Our meta-analysis found no significant mortality difference between HA and </w:t>
      </w:r>
      <w:r w:rsidR="00DF54B8" w:rsidRPr="00B90724">
        <w:rPr>
          <w:lang w:val="en-US"/>
        </w:rPr>
        <w:t>CGs</w:t>
      </w:r>
      <w:r w:rsidRPr="00B90724">
        <w:rPr>
          <w:lang w:val="en-US"/>
        </w:rPr>
        <w:t>.</w:t>
      </w:r>
    </w:p>
    <w:p w14:paraId="0F967148" w14:textId="0F7B6E63" w:rsidR="00B41FBB" w:rsidRPr="00B90724" w:rsidRDefault="00B41FBB" w:rsidP="0036711F">
      <w:pPr>
        <w:pStyle w:val="Heading2"/>
        <w:rPr>
          <w:szCs w:val="24"/>
          <w:lang w:val="en-US"/>
        </w:rPr>
      </w:pPr>
      <w:bookmarkStart w:id="100" w:name="_Toc211542228"/>
      <w:r w:rsidRPr="00B90724">
        <w:rPr>
          <w:szCs w:val="24"/>
          <w:lang w:val="en-US"/>
        </w:rPr>
        <w:t>9.</w:t>
      </w:r>
      <w:r w:rsidR="00D10BEB" w:rsidRPr="00B90724">
        <w:rPr>
          <w:szCs w:val="24"/>
          <w:lang w:val="en-US"/>
        </w:rPr>
        <w:t>3</w:t>
      </w:r>
      <w:r w:rsidRPr="00B90724">
        <w:rPr>
          <w:szCs w:val="24"/>
          <w:lang w:val="en-US"/>
        </w:rPr>
        <w:t>. Strengths (including all studies)</w:t>
      </w:r>
      <w:bookmarkEnd w:id="100"/>
    </w:p>
    <w:p w14:paraId="76B409B5" w14:textId="3F3C7D86" w:rsidR="008078F2" w:rsidRPr="00B90724" w:rsidRDefault="008078F2" w:rsidP="0036711F">
      <w:pPr>
        <w:rPr>
          <w:lang w:val="en-US"/>
        </w:rPr>
      </w:pPr>
      <w:r w:rsidRPr="00B90724">
        <w:rPr>
          <w:lang w:val="en-US"/>
        </w:rPr>
        <w:t>Both of our studies included the most recently published cases and trials on their respective topics, with the literature search and selection process adhering to a predefined protocol.</w:t>
      </w:r>
      <w:r w:rsidR="00D10BEB" w:rsidRPr="00B90724">
        <w:rPr>
          <w:lang w:val="en-US"/>
        </w:rPr>
        <w:t xml:space="preserve"> </w:t>
      </w:r>
      <w:r w:rsidRPr="00B90724">
        <w:rPr>
          <w:lang w:val="en-US"/>
        </w:rPr>
        <w:t>Our review on the effects of PEEP titration analyzed the largest number of patients compared to previous systematic reviews. Another strength of our study is that it exclusively included randomized controlled trials, thereby enhancing the level of evidence for its findings.</w:t>
      </w:r>
      <w:r w:rsidR="00D10BEB" w:rsidRPr="00B90724">
        <w:rPr>
          <w:lang w:val="en-US"/>
        </w:rPr>
        <w:t xml:space="preserve"> </w:t>
      </w:r>
      <w:r w:rsidRPr="00B90724">
        <w:rPr>
          <w:lang w:val="en-US"/>
        </w:rPr>
        <w:t xml:space="preserve">To the best of our knowledge, </w:t>
      </w:r>
      <w:r w:rsidR="00D06804" w:rsidRPr="00B90724">
        <w:rPr>
          <w:lang w:val="en-US"/>
        </w:rPr>
        <w:t xml:space="preserve">our second meta-analysis was </w:t>
      </w:r>
      <w:r w:rsidRPr="00B90724">
        <w:rPr>
          <w:lang w:val="en-US"/>
        </w:rPr>
        <w:t xml:space="preserve">first systematic review in the literature that aims to summarize findings on </w:t>
      </w:r>
      <w:proofErr w:type="spellStart"/>
      <w:r w:rsidRPr="00B90724">
        <w:rPr>
          <w:lang w:val="en-US"/>
        </w:rPr>
        <w:t>hem</w:t>
      </w:r>
      <w:r w:rsidR="004A5249" w:rsidRPr="00B90724">
        <w:rPr>
          <w:lang w:val="en-US"/>
        </w:rPr>
        <w:t>o</w:t>
      </w:r>
      <w:r w:rsidRPr="00B90724">
        <w:rPr>
          <w:lang w:val="en-US"/>
        </w:rPr>
        <w:t>adsorption</w:t>
      </w:r>
      <w:proofErr w:type="spellEnd"/>
      <w:r w:rsidRPr="00B90724">
        <w:rPr>
          <w:lang w:val="en-US"/>
        </w:rPr>
        <w:t xml:space="preserve"> therapy in ARDS.</w:t>
      </w:r>
    </w:p>
    <w:p w14:paraId="620ECF38" w14:textId="108BF5F4" w:rsidR="00B41FBB" w:rsidRPr="00B90724" w:rsidRDefault="00B41FBB" w:rsidP="0036711F">
      <w:pPr>
        <w:pStyle w:val="Heading2"/>
        <w:rPr>
          <w:szCs w:val="24"/>
          <w:lang w:val="en-US"/>
        </w:rPr>
      </w:pPr>
      <w:bookmarkStart w:id="101" w:name="_Toc211542229"/>
      <w:r w:rsidRPr="00B90724">
        <w:rPr>
          <w:szCs w:val="24"/>
          <w:lang w:val="en-US"/>
        </w:rPr>
        <w:t>9.</w:t>
      </w:r>
      <w:r w:rsidR="00D10BEB" w:rsidRPr="00B90724">
        <w:rPr>
          <w:szCs w:val="24"/>
          <w:lang w:val="en-US"/>
        </w:rPr>
        <w:t>4</w:t>
      </w:r>
      <w:r w:rsidRPr="00B90724">
        <w:rPr>
          <w:szCs w:val="24"/>
          <w:lang w:val="en-US"/>
        </w:rPr>
        <w:t>. Limitations</w:t>
      </w:r>
      <w:bookmarkEnd w:id="101"/>
    </w:p>
    <w:p w14:paraId="4BB41E1E" w14:textId="24994C25" w:rsidR="000A3539" w:rsidRPr="00B90724" w:rsidRDefault="000A3539" w:rsidP="0036711F">
      <w:pPr>
        <w:rPr>
          <w:lang w:val="en-US"/>
        </w:rPr>
      </w:pPr>
      <w:r w:rsidRPr="00B90724">
        <w:rPr>
          <w:lang w:val="en-US"/>
        </w:rPr>
        <w:t>Unfortunately, both of our systematic reviews have their own limitations, as well as shared ones.</w:t>
      </w:r>
    </w:p>
    <w:p w14:paraId="18BDADFC" w14:textId="251D07F0" w:rsidR="002C0210" w:rsidRPr="00B90724" w:rsidRDefault="000A3539" w:rsidP="0036711F">
      <w:pPr>
        <w:rPr>
          <w:lang w:val="en-US"/>
        </w:rPr>
      </w:pPr>
      <w:r w:rsidRPr="00B90724">
        <w:rPr>
          <w:lang w:val="en-US"/>
        </w:rPr>
        <w:lastRenderedPageBreak/>
        <w:t>Firstly,</w:t>
      </w:r>
      <w:r w:rsidR="003322F3" w:rsidRPr="00B90724">
        <w:rPr>
          <w:lang w:val="en-US"/>
        </w:rPr>
        <w:t xml:space="preserve"> heterogen</w:t>
      </w:r>
      <w:r w:rsidR="00C42837" w:rsidRPr="00B90724">
        <w:rPr>
          <w:lang w:val="en-US"/>
        </w:rPr>
        <w:t>eity. B</w:t>
      </w:r>
      <w:r w:rsidRPr="00B90724">
        <w:rPr>
          <w:lang w:val="en-US"/>
        </w:rPr>
        <w:t xml:space="preserve">oth reviews included heterogeneous populations, study designs, even differing definitions of PPC </w:t>
      </w:r>
      <w:r w:rsidR="00D35BBA" w:rsidRPr="00B90724">
        <w:rPr>
          <w:lang w:val="en-US"/>
        </w:rPr>
        <w:t>or</w:t>
      </w:r>
      <w:r w:rsidRPr="00B90724">
        <w:rPr>
          <w:lang w:val="en-US"/>
        </w:rPr>
        <w:t xml:space="preserve"> ARDS. Variations </w:t>
      </w:r>
      <w:r w:rsidR="003322F3" w:rsidRPr="00B90724">
        <w:rPr>
          <w:lang w:val="en-US"/>
        </w:rPr>
        <w:t xml:space="preserve">also </w:t>
      </w:r>
      <w:r w:rsidRPr="00B90724">
        <w:rPr>
          <w:lang w:val="en-US"/>
        </w:rPr>
        <w:t xml:space="preserve">included measuring outcomes at different time points and using different interventions—e.g., different titration methods in the former review or varying concomitant organ support therapies in the latter. Data interpretation also differed between </w:t>
      </w:r>
      <w:r w:rsidR="00C42837" w:rsidRPr="00B90724">
        <w:rPr>
          <w:lang w:val="en-US"/>
        </w:rPr>
        <w:t>outcomes</w:t>
      </w:r>
      <w:r w:rsidRPr="00B90724">
        <w:rPr>
          <w:lang w:val="en-US"/>
        </w:rPr>
        <w:t xml:space="preserve"> (e.g., means vs. medians). When only medians and quartiles were reported, estimating the mean and standard deviation is a commonly accepted method; however, these remain approximations of the true values.</w:t>
      </w:r>
    </w:p>
    <w:p w14:paraId="3913768C" w14:textId="4F4136CF" w:rsidR="000A3539" w:rsidRPr="00B90724" w:rsidRDefault="000A3539" w:rsidP="0036711F">
      <w:pPr>
        <w:rPr>
          <w:lang w:val="en-US"/>
        </w:rPr>
      </w:pPr>
      <w:r w:rsidRPr="00B90724">
        <w:rPr>
          <w:lang w:val="en-US"/>
        </w:rPr>
        <w:t>Secondly,</w:t>
      </w:r>
      <w:r w:rsidR="004D0B67" w:rsidRPr="00B90724">
        <w:rPr>
          <w:lang w:val="en-US"/>
        </w:rPr>
        <w:t xml:space="preserve"> quality. B</w:t>
      </w:r>
      <w:r w:rsidRPr="00B90724">
        <w:rPr>
          <w:lang w:val="en-US"/>
        </w:rPr>
        <w:t xml:space="preserve">oth studies had limited high-quality data for several outcomes. In the systematic review on </w:t>
      </w:r>
      <w:proofErr w:type="spellStart"/>
      <w:r w:rsidRPr="00B90724">
        <w:rPr>
          <w:lang w:val="en-US"/>
        </w:rPr>
        <w:t>hem</w:t>
      </w:r>
      <w:r w:rsidR="004A5249" w:rsidRPr="00B90724">
        <w:rPr>
          <w:lang w:val="en-US"/>
        </w:rPr>
        <w:t>o</w:t>
      </w:r>
      <w:r w:rsidRPr="00B90724">
        <w:rPr>
          <w:lang w:val="en-US"/>
        </w:rPr>
        <w:t>adsorption</w:t>
      </w:r>
      <w:proofErr w:type="spellEnd"/>
      <w:r w:rsidRPr="00B90724">
        <w:rPr>
          <w:lang w:val="en-US"/>
        </w:rPr>
        <w:t xml:space="preserve">, we lacked well-designed </w:t>
      </w:r>
      <w:proofErr w:type="gramStart"/>
      <w:r w:rsidRPr="00B90724">
        <w:rPr>
          <w:lang w:val="en-US"/>
        </w:rPr>
        <w:t>trials</w:t>
      </w:r>
      <w:proofErr w:type="gramEnd"/>
      <w:r w:rsidR="004E557C" w:rsidRPr="00B90724">
        <w:rPr>
          <w:lang w:val="en-US"/>
        </w:rPr>
        <w:t xml:space="preserve"> especially randomized controlled </w:t>
      </w:r>
      <w:r w:rsidR="00BD573F" w:rsidRPr="00B90724">
        <w:rPr>
          <w:lang w:val="en-US"/>
        </w:rPr>
        <w:t>trials and</w:t>
      </w:r>
      <w:r w:rsidRPr="00B90724">
        <w:rPr>
          <w:lang w:val="en-US"/>
        </w:rPr>
        <w:t xml:space="preserve"> had to rely on a small number of case reports and case series, resulting in inadequate data pools. As a result, the evidence of our findings is inherently low. Additionally, the analyzed data likely suffered from skewed distributions and potential publication bias, especially in case reports. Without </w:t>
      </w:r>
      <w:r w:rsidR="00DF54B8" w:rsidRPr="00B90724">
        <w:rPr>
          <w:lang w:val="en-US"/>
        </w:rPr>
        <w:t>CGs</w:t>
      </w:r>
      <w:r w:rsidRPr="00B90724">
        <w:rPr>
          <w:lang w:val="en-US"/>
        </w:rPr>
        <w:t>, it is impossible to exclude the possibility that improvements were solely due to standard medical treatments rather than the intervention itself.</w:t>
      </w:r>
      <w:r w:rsidR="00827810" w:rsidRPr="00B90724">
        <w:rPr>
          <w:lang w:val="en-US"/>
        </w:rPr>
        <w:t xml:space="preserve"> </w:t>
      </w:r>
    </w:p>
    <w:p w14:paraId="347644C6" w14:textId="168578BB" w:rsidR="000A3539" w:rsidRPr="00B90724" w:rsidRDefault="000A3539" w:rsidP="0036711F">
      <w:pPr>
        <w:rPr>
          <w:lang w:val="en-US"/>
        </w:rPr>
      </w:pPr>
      <w:r w:rsidRPr="00B90724">
        <w:rPr>
          <w:lang w:val="en-US"/>
        </w:rPr>
        <w:t>In the first study, vasopressor requirements were underreported, limiting our ability to draw conclusions about the hemodynamic effects of titrated PEEP. Moreover, the study could not determine whether the benefits observed were due to the individualized approach itself or whether the commonly used PEEP levels (around 5–6 cm H</w:t>
      </w:r>
      <w:r w:rsidRPr="00B90724">
        <w:rPr>
          <w:vertAlign w:val="subscript"/>
          <w:lang w:val="en-US"/>
        </w:rPr>
        <w:t>2</w:t>
      </w:r>
      <w:r w:rsidRPr="00B90724">
        <w:rPr>
          <w:lang w:val="en-US"/>
        </w:rPr>
        <w:t xml:space="preserve">O) are suboptimal. Future research should test individualized PEEP titration against higher preset PEEP levels (e.g., </w:t>
      </w:r>
      <w:r w:rsidR="00A16204" w:rsidRPr="00B90724">
        <w:rPr>
          <w:lang w:val="en-US"/>
        </w:rPr>
        <w:t>8-12</w:t>
      </w:r>
      <w:r w:rsidRPr="00B90724">
        <w:rPr>
          <w:lang w:val="en-US"/>
        </w:rPr>
        <w:t xml:space="preserve"> cm H</w:t>
      </w:r>
      <w:r w:rsidRPr="00B90724">
        <w:rPr>
          <w:vertAlign w:val="subscript"/>
          <w:lang w:val="en-US"/>
        </w:rPr>
        <w:t>2</w:t>
      </w:r>
      <w:r w:rsidRPr="00B90724">
        <w:rPr>
          <w:lang w:val="en-US"/>
        </w:rPr>
        <w:t>O).</w:t>
      </w:r>
    </w:p>
    <w:p w14:paraId="28A19B9B" w14:textId="6878B8E3" w:rsidR="00D47535" w:rsidRPr="00B90724" w:rsidRDefault="000A3539" w:rsidP="0036711F">
      <w:pPr>
        <w:rPr>
          <w:lang w:val="en-US"/>
        </w:rPr>
      </w:pPr>
      <w:r w:rsidRPr="00B90724">
        <w:rPr>
          <w:lang w:val="en-US"/>
        </w:rPr>
        <w:t>Finally,</w:t>
      </w:r>
      <w:r w:rsidR="0082323D" w:rsidRPr="00B90724">
        <w:rPr>
          <w:lang w:val="en-US"/>
        </w:rPr>
        <w:t xml:space="preserve"> long-term </w:t>
      </w:r>
      <w:r w:rsidR="00A16204" w:rsidRPr="00B90724">
        <w:rPr>
          <w:lang w:val="en-US"/>
        </w:rPr>
        <w:t>effects. We</w:t>
      </w:r>
      <w:r w:rsidRPr="00B90724">
        <w:rPr>
          <w:lang w:val="en-US"/>
        </w:rPr>
        <w:t xml:space="preserve"> could not analyze data on postoperative pulmonary complications potentially associated with higher PEEP, as these outcomes were underreported. Similarly, </w:t>
      </w:r>
      <w:r w:rsidR="00A16204" w:rsidRPr="00B90724">
        <w:rPr>
          <w:lang w:val="en-US"/>
        </w:rPr>
        <w:t>due to</w:t>
      </w:r>
      <w:r w:rsidR="009911A5" w:rsidRPr="00B90724">
        <w:rPr>
          <w:lang w:val="en-US"/>
        </w:rPr>
        <w:t xml:space="preserve"> </w:t>
      </w:r>
      <w:r w:rsidR="00A16204" w:rsidRPr="00B90724">
        <w:rPr>
          <w:lang w:val="en-US"/>
        </w:rPr>
        <w:t xml:space="preserve">the lack of data, </w:t>
      </w:r>
      <w:r w:rsidRPr="00B90724">
        <w:rPr>
          <w:lang w:val="en-US"/>
        </w:rPr>
        <w:t xml:space="preserve">we could not pool data on safety outcomes or mortality after </w:t>
      </w:r>
      <w:proofErr w:type="spellStart"/>
      <w:r w:rsidRPr="00B90724">
        <w:rPr>
          <w:lang w:val="en-US"/>
        </w:rPr>
        <w:t>hem</w:t>
      </w:r>
      <w:r w:rsidR="004A5249" w:rsidRPr="00B90724">
        <w:rPr>
          <w:lang w:val="en-US"/>
        </w:rPr>
        <w:t>o</w:t>
      </w:r>
      <w:r w:rsidRPr="00B90724">
        <w:rPr>
          <w:lang w:val="en-US"/>
        </w:rPr>
        <w:t>adsorption</w:t>
      </w:r>
      <w:proofErr w:type="spellEnd"/>
      <w:r w:rsidRPr="00B90724">
        <w:rPr>
          <w:lang w:val="en-US"/>
        </w:rPr>
        <w:t xml:space="preserve"> therapy. Long-term effects, therefore, need further investigation in future studies.</w:t>
      </w:r>
    </w:p>
    <w:p w14:paraId="15A6106A" w14:textId="77777777" w:rsidR="009D62C6" w:rsidRPr="00B90724" w:rsidRDefault="009D62C6" w:rsidP="0036711F">
      <w:pPr>
        <w:rPr>
          <w:rFonts w:eastAsiaTheme="majorEastAsia" w:cstheme="majorBidi"/>
          <w:b/>
          <w:lang w:val="en-US"/>
        </w:rPr>
      </w:pPr>
      <w:r w:rsidRPr="00B90724">
        <w:rPr>
          <w:lang w:val="en-US"/>
        </w:rPr>
        <w:br w:type="page"/>
      </w:r>
    </w:p>
    <w:p w14:paraId="7A7ADB51" w14:textId="7A59D41F" w:rsidR="00B41FBB" w:rsidRPr="00B90724" w:rsidRDefault="00B41FBB" w:rsidP="0036711F">
      <w:pPr>
        <w:pStyle w:val="Heading1"/>
        <w:rPr>
          <w:szCs w:val="24"/>
          <w:lang w:val="en-US"/>
        </w:rPr>
      </w:pPr>
      <w:bookmarkStart w:id="102" w:name="_Toc211542230"/>
      <w:r w:rsidRPr="00B90724">
        <w:rPr>
          <w:szCs w:val="24"/>
          <w:lang w:val="en-US"/>
        </w:rPr>
        <w:lastRenderedPageBreak/>
        <w:t>10. CONCLUSIO</w:t>
      </w:r>
      <w:r w:rsidR="00A15294" w:rsidRPr="00B90724">
        <w:rPr>
          <w:szCs w:val="24"/>
          <w:lang w:val="en-US"/>
        </w:rPr>
        <w:t>N</w:t>
      </w:r>
      <w:r w:rsidRPr="00B90724">
        <w:rPr>
          <w:szCs w:val="24"/>
          <w:lang w:val="en-US"/>
        </w:rPr>
        <w:t>S</w:t>
      </w:r>
      <w:bookmarkEnd w:id="102"/>
      <w:r w:rsidRPr="00B90724">
        <w:rPr>
          <w:szCs w:val="24"/>
          <w:lang w:val="en-US"/>
        </w:rPr>
        <w:t xml:space="preserve"> </w:t>
      </w:r>
    </w:p>
    <w:p w14:paraId="47E97FDB" w14:textId="563D5E86" w:rsidR="004433C6" w:rsidRPr="00B90724" w:rsidRDefault="00FD623E" w:rsidP="00573C51">
      <w:pPr>
        <w:pStyle w:val="Heading2"/>
        <w:rPr>
          <w:szCs w:val="24"/>
          <w:lang w:val="en-US"/>
        </w:rPr>
      </w:pPr>
      <w:bookmarkStart w:id="103" w:name="_Toc211542231"/>
      <w:r w:rsidRPr="00B90724">
        <w:rPr>
          <w:szCs w:val="24"/>
          <w:lang w:val="en-US"/>
        </w:rPr>
        <w:t xml:space="preserve">10.1. </w:t>
      </w:r>
      <w:r w:rsidR="00573C51" w:rsidRPr="00B90724">
        <w:rPr>
          <w:szCs w:val="24"/>
          <w:lang w:val="en-US"/>
        </w:rPr>
        <w:t>Study I. – Individualized vs. fixed intraoperative PEEP settings</w:t>
      </w:r>
      <w:bookmarkEnd w:id="103"/>
    </w:p>
    <w:p w14:paraId="6AC4989E" w14:textId="79947ED7" w:rsidR="004150F7" w:rsidRPr="00B90724" w:rsidRDefault="004150F7" w:rsidP="0036711F">
      <w:pPr>
        <w:rPr>
          <w:lang w:val="en-US"/>
        </w:rPr>
      </w:pPr>
      <w:r w:rsidRPr="00B90724">
        <w:rPr>
          <w:lang w:val="en-US"/>
        </w:rPr>
        <w:t xml:space="preserve">Our findings indicate that individualized PEEP titration significantly lowers the risk of PPCs and improves oxygenation compared to a conventional fixed PEEP strategy. It may also enhance lung mechanics. </w:t>
      </w:r>
      <w:r w:rsidR="009911A5" w:rsidRPr="00B90724">
        <w:rPr>
          <w:lang w:val="en-US"/>
        </w:rPr>
        <w:t>Based</w:t>
      </w:r>
      <w:r w:rsidRPr="00B90724">
        <w:rPr>
          <w:lang w:val="en-US"/>
        </w:rPr>
        <w:t xml:space="preserve"> on these results, further research is needed in a more homogeneous population, with standardized titration methods, consistent definitions, uniform outcome measurement timepoints, and comparisons across various preset PEEP levels.</w:t>
      </w:r>
    </w:p>
    <w:p w14:paraId="0ACAB891" w14:textId="7A59D41F" w:rsidR="00FF65E2" w:rsidRPr="00B90724" w:rsidRDefault="00FF65E2" w:rsidP="00573C51">
      <w:pPr>
        <w:pStyle w:val="Heading2"/>
        <w:rPr>
          <w:szCs w:val="24"/>
          <w:lang w:val="en-US"/>
        </w:rPr>
      </w:pPr>
      <w:bookmarkStart w:id="104" w:name="_Toc211542232"/>
      <w:r w:rsidRPr="00B90724">
        <w:rPr>
          <w:szCs w:val="24"/>
          <w:lang w:val="en-US"/>
        </w:rPr>
        <w:t xml:space="preserve">10.2. </w:t>
      </w:r>
      <w:r w:rsidR="00573C51" w:rsidRPr="00B90724">
        <w:rPr>
          <w:szCs w:val="24"/>
          <w:lang w:val="en-US"/>
        </w:rPr>
        <w:t xml:space="preserve">Study II. – </w:t>
      </w:r>
      <w:proofErr w:type="spellStart"/>
      <w:r w:rsidR="00573C51" w:rsidRPr="00B90724">
        <w:rPr>
          <w:szCs w:val="24"/>
          <w:lang w:val="en-US"/>
        </w:rPr>
        <w:t>Hem</w:t>
      </w:r>
      <w:r w:rsidR="004A5249" w:rsidRPr="00B90724">
        <w:rPr>
          <w:szCs w:val="24"/>
          <w:lang w:val="en-US"/>
        </w:rPr>
        <w:t>o</w:t>
      </w:r>
      <w:r w:rsidR="00573C51" w:rsidRPr="00B90724">
        <w:rPr>
          <w:szCs w:val="24"/>
          <w:lang w:val="en-US"/>
        </w:rPr>
        <w:t>adsorption</w:t>
      </w:r>
      <w:proofErr w:type="spellEnd"/>
      <w:r w:rsidR="00573C51" w:rsidRPr="00B90724">
        <w:rPr>
          <w:szCs w:val="24"/>
          <w:lang w:val="en-US"/>
        </w:rPr>
        <w:t xml:space="preserve"> as Adjuvant Therapy in ARDS</w:t>
      </w:r>
      <w:bookmarkEnd w:id="104"/>
    </w:p>
    <w:p w14:paraId="65BA9019" w14:textId="7DF16C3D" w:rsidR="00A15294" w:rsidRPr="00B90724" w:rsidRDefault="00A15294" w:rsidP="0036711F">
      <w:pPr>
        <w:rPr>
          <w:lang w:val="en-US"/>
        </w:rPr>
      </w:pPr>
      <w:r w:rsidRPr="00B90724">
        <w:rPr>
          <w:lang w:val="en-US"/>
        </w:rPr>
        <w:t xml:space="preserve">Based on our findings, </w:t>
      </w:r>
      <w:proofErr w:type="spellStart"/>
      <w:r w:rsidRPr="00B90724">
        <w:rPr>
          <w:lang w:val="en-US"/>
        </w:rPr>
        <w:t>hem</w:t>
      </w:r>
      <w:r w:rsidR="004A5249" w:rsidRPr="00B90724">
        <w:rPr>
          <w:lang w:val="en-US"/>
        </w:rPr>
        <w:t>o</w:t>
      </w:r>
      <w:r w:rsidRPr="00B90724">
        <w:rPr>
          <w:lang w:val="en-US"/>
        </w:rPr>
        <w:t>adsorption</w:t>
      </w:r>
      <w:proofErr w:type="spellEnd"/>
      <w:r w:rsidRPr="00B90724">
        <w:rPr>
          <w:lang w:val="en-US"/>
        </w:rPr>
        <w:t xml:space="preserve"> therapy in patients with ARDS appears to be safe and is associated with improved oxygenation and a reduction in inflammatory mediators. However, these conclusions are supported by a low level of evidenc</w:t>
      </w:r>
      <w:r w:rsidR="00692983" w:rsidRPr="00B90724">
        <w:rPr>
          <w:lang w:val="en-US"/>
        </w:rPr>
        <w:t xml:space="preserve">e, in </w:t>
      </w:r>
      <w:proofErr w:type="gramStart"/>
      <w:r w:rsidR="00692983" w:rsidRPr="00B90724">
        <w:rPr>
          <w:lang w:val="en-US"/>
        </w:rPr>
        <w:t>an</w:t>
      </w:r>
      <w:proofErr w:type="gramEnd"/>
      <w:r w:rsidR="00692983" w:rsidRPr="00B90724">
        <w:rPr>
          <w:lang w:val="en-US"/>
        </w:rPr>
        <w:t xml:space="preserve"> </w:t>
      </w:r>
      <w:proofErr w:type="spellStart"/>
      <w:r w:rsidR="006F3B34" w:rsidRPr="00B90724">
        <w:t>heterogene</w:t>
      </w:r>
      <w:r w:rsidR="00692983" w:rsidRPr="00B90724">
        <w:t>ous</w:t>
      </w:r>
      <w:proofErr w:type="spellEnd"/>
      <w:r w:rsidR="006F3B34" w:rsidRPr="00B90724">
        <w:t xml:space="preserve"> </w:t>
      </w:r>
      <w:proofErr w:type="spellStart"/>
      <w:r w:rsidR="00692983" w:rsidRPr="00B90724">
        <w:t>population</w:t>
      </w:r>
      <w:proofErr w:type="spellEnd"/>
      <w:r w:rsidR="00865893" w:rsidRPr="00B90724">
        <w:t xml:space="preserve">. </w:t>
      </w:r>
      <w:proofErr w:type="spellStart"/>
      <w:r w:rsidR="00865893" w:rsidRPr="00B90724">
        <w:t>R</w:t>
      </w:r>
      <w:r w:rsidR="00692983" w:rsidRPr="00B90724">
        <w:t>esults</w:t>
      </w:r>
      <w:proofErr w:type="spellEnd"/>
      <w:r w:rsidR="00692983" w:rsidRPr="00B90724">
        <w:t xml:space="preserve"> </w:t>
      </w:r>
      <w:proofErr w:type="spellStart"/>
      <w:r w:rsidR="006F3B34" w:rsidRPr="00B90724">
        <w:t>should</w:t>
      </w:r>
      <w:proofErr w:type="spellEnd"/>
      <w:r w:rsidR="006F3B34" w:rsidRPr="00B90724">
        <w:t xml:space="preserve"> be </w:t>
      </w:r>
      <w:proofErr w:type="spellStart"/>
      <w:r w:rsidR="006F3B34" w:rsidRPr="00B90724">
        <w:t>interpreted</w:t>
      </w:r>
      <w:proofErr w:type="spellEnd"/>
      <w:r w:rsidR="006F3B34" w:rsidRPr="00B90724">
        <w:t xml:space="preserve"> </w:t>
      </w:r>
      <w:proofErr w:type="spellStart"/>
      <w:r w:rsidR="006F3B34" w:rsidRPr="00B90724">
        <w:t>with</w:t>
      </w:r>
      <w:proofErr w:type="spellEnd"/>
      <w:r w:rsidR="006F3B34" w:rsidRPr="00B90724">
        <w:t xml:space="preserve"> </w:t>
      </w:r>
      <w:proofErr w:type="spellStart"/>
      <w:r w:rsidR="006F3B34" w:rsidRPr="00B90724">
        <w:t>cautio</w:t>
      </w:r>
      <w:r w:rsidR="00B80114" w:rsidRPr="00B90724">
        <w:t>n</w:t>
      </w:r>
      <w:proofErr w:type="spellEnd"/>
      <w:r w:rsidR="00692983" w:rsidRPr="00B90724">
        <w:t>, and</w:t>
      </w:r>
      <w:r w:rsidR="00865893" w:rsidRPr="00B90724">
        <w:t xml:space="preserve"> </w:t>
      </w:r>
      <w:proofErr w:type="spellStart"/>
      <w:r w:rsidR="00865893" w:rsidRPr="00B90724">
        <w:t>they</w:t>
      </w:r>
      <w:proofErr w:type="spellEnd"/>
      <w:r w:rsidR="00B80114" w:rsidRPr="00B90724">
        <w:t xml:space="preserve"> </w:t>
      </w:r>
      <w:proofErr w:type="spellStart"/>
      <w:r w:rsidR="00865893" w:rsidRPr="00B90724">
        <w:t>highlight</w:t>
      </w:r>
      <w:proofErr w:type="spellEnd"/>
      <w:r w:rsidR="00865893" w:rsidRPr="00B90724">
        <w:t xml:space="preserve"> </w:t>
      </w:r>
      <w:proofErr w:type="spellStart"/>
      <w:r w:rsidR="00865893" w:rsidRPr="00B90724">
        <w:t>the</w:t>
      </w:r>
      <w:proofErr w:type="spellEnd"/>
      <w:r w:rsidR="00865893" w:rsidRPr="00B90724">
        <w:t xml:space="preserve"> </w:t>
      </w:r>
      <w:proofErr w:type="spellStart"/>
      <w:r w:rsidR="00865893" w:rsidRPr="00B90724">
        <w:t>necessity</w:t>
      </w:r>
      <w:proofErr w:type="spellEnd"/>
      <w:r w:rsidR="00865893" w:rsidRPr="00B90724">
        <w:t xml:space="preserve"> </w:t>
      </w:r>
      <w:proofErr w:type="spellStart"/>
      <w:r w:rsidR="00865893" w:rsidRPr="00B90724">
        <w:t>for</w:t>
      </w:r>
      <w:proofErr w:type="spellEnd"/>
      <w:r w:rsidR="00865893" w:rsidRPr="00B90724">
        <w:t xml:space="preserve"> </w:t>
      </w:r>
      <w:proofErr w:type="spellStart"/>
      <w:r w:rsidR="00865893" w:rsidRPr="00B90724">
        <w:t>stronger</w:t>
      </w:r>
      <w:proofErr w:type="spellEnd"/>
      <w:r w:rsidR="00865893" w:rsidRPr="00B90724">
        <w:t xml:space="preserve"> </w:t>
      </w:r>
      <w:proofErr w:type="spellStart"/>
      <w:r w:rsidR="00865893" w:rsidRPr="00B90724">
        <w:t>evidence</w:t>
      </w:r>
      <w:proofErr w:type="spellEnd"/>
      <w:r w:rsidR="00865893" w:rsidRPr="00B90724">
        <w:t xml:space="preserve"> </w:t>
      </w:r>
      <w:proofErr w:type="spellStart"/>
      <w:r w:rsidR="00865893" w:rsidRPr="00B90724">
        <w:t>from</w:t>
      </w:r>
      <w:proofErr w:type="spellEnd"/>
      <w:r w:rsidR="00865893" w:rsidRPr="00B90724">
        <w:t xml:space="preserve"> </w:t>
      </w:r>
      <w:proofErr w:type="spellStart"/>
      <w:r w:rsidR="00865893" w:rsidRPr="00B90724">
        <w:t>prospective</w:t>
      </w:r>
      <w:proofErr w:type="spellEnd"/>
      <w:r w:rsidR="00865893" w:rsidRPr="00B90724">
        <w:t xml:space="preserve"> </w:t>
      </w:r>
      <w:proofErr w:type="spellStart"/>
      <w:r w:rsidR="00865893" w:rsidRPr="00B90724">
        <w:t>studies</w:t>
      </w:r>
      <w:proofErr w:type="spellEnd"/>
      <w:r w:rsidR="00865893" w:rsidRPr="00B90724">
        <w:t xml:space="preserve">, </w:t>
      </w:r>
      <w:proofErr w:type="spellStart"/>
      <w:r w:rsidR="00865893" w:rsidRPr="00B90724">
        <w:t>registries</w:t>
      </w:r>
      <w:proofErr w:type="spellEnd"/>
      <w:r w:rsidR="00865893" w:rsidRPr="00B90724">
        <w:t xml:space="preserve">, and </w:t>
      </w:r>
      <w:proofErr w:type="spellStart"/>
      <w:r w:rsidR="00865893" w:rsidRPr="00B90724">
        <w:t>RCTs</w:t>
      </w:r>
      <w:proofErr w:type="spellEnd"/>
      <w:r w:rsidR="00865893" w:rsidRPr="00B90724">
        <w:t>.</w:t>
      </w:r>
    </w:p>
    <w:p w14:paraId="64423904" w14:textId="77777777" w:rsidR="00DD4791" w:rsidRPr="00B90724" w:rsidRDefault="00DD4791" w:rsidP="0036711F">
      <w:pPr>
        <w:rPr>
          <w:lang w:val="en-US"/>
        </w:rPr>
      </w:pPr>
    </w:p>
    <w:p w14:paraId="3E7D4858" w14:textId="77777777" w:rsidR="009D62C6" w:rsidRPr="00B90724" w:rsidRDefault="009D62C6" w:rsidP="0036711F">
      <w:pPr>
        <w:rPr>
          <w:rFonts w:eastAsiaTheme="majorEastAsia" w:cstheme="majorBidi"/>
          <w:b/>
          <w:lang w:val="en-US"/>
        </w:rPr>
      </w:pPr>
      <w:r w:rsidRPr="00B90724">
        <w:rPr>
          <w:lang w:val="en-US"/>
        </w:rPr>
        <w:br w:type="page"/>
      </w:r>
    </w:p>
    <w:p w14:paraId="6E508241" w14:textId="1ED0774B" w:rsidR="00B41FBB" w:rsidRPr="00B90724" w:rsidRDefault="00B41FBB" w:rsidP="0036711F">
      <w:pPr>
        <w:pStyle w:val="Heading1"/>
        <w:rPr>
          <w:szCs w:val="24"/>
          <w:lang w:val="en-US"/>
        </w:rPr>
      </w:pPr>
      <w:bookmarkStart w:id="105" w:name="_Toc211542233"/>
      <w:r w:rsidRPr="00B90724">
        <w:rPr>
          <w:szCs w:val="24"/>
          <w:lang w:val="en-US"/>
        </w:rPr>
        <w:lastRenderedPageBreak/>
        <w:t>11. IMPLEMENTATION FOR PRACTICE</w:t>
      </w:r>
      <w:bookmarkEnd w:id="105"/>
      <w:r w:rsidRPr="00B90724">
        <w:rPr>
          <w:szCs w:val="24"/>
          <w:lang w:val="en-US"/>
        </w:rPr>
        <w:t xml:space="preserve"> </w:t>
      </w:r>
    </w:p>
    <w:p w14:paraId="6ED186D4" w14:textId="65636B63" w:rsidR="0099550C" w:rsidRPr="00B90724" w:rsidRDefault="00933FC2" w:rsidP="0099550C">
      <w:pPr>
        <w:rPr>
          <w:lang w:val="en-US"/>
        </w:rPr>
      </w:pPr>
      <w:r w:rsidRPr="00B90724">
        <w:rPr>
          <w:lang w:val="en-US"/>
        </w:rPr>
        <w:t xml:space="preserve">This meta-analysis </w:t>
      </w:r>
      <w:r w:rsidR="00EA2B4F" w:rsidRPr="00B90724">
        <w:rPr>
          <w:lang w:val="en-US"/>
        </w:rPr>
        <w:t xml:space="preserve">on PEEP titration </w:t>
      </w:r>
      <w:r w:rsidR="00E70C78" w:rsidRPr="00B90724">
        <w:rPr>
          <w:lang w:val="en-US"/>
        </w:rPr>
        <w:t>highlights</w:t>
      </w:r>
      <w:r w:rsidRPr="00B90724">
        <w:rPr>
          <w:lang w:val="en-US"/>
        </w:rPr>
        <w:t xml:space="preserve"> the potential clinical value of individualized </w:t>
      </w:r>
      <w:r w:rsidR="00EA2B4F" w:rsidRPr="00B90724">
        <w:rPr>
          <w:lang w:val="en-US"/>
        </w:rPr>
        <w:t>ventilation</w:t>
      </w:r>
      <w:r w:rsidRPr="00B90724">
        <w:rPr>
          <w:lang w:val="en-US"/>
        </w:rPr>
        <w:t xml:space="preserve"> during general anesthesia, especially in patients at increased risk of</w:t>
      </w:r>
      <w:r w:rsidR="00EA2B4F" w:rsidRPr="00B90724">
        <w:rPr>
          <w:lang w:val="en-US"/>
        </w:rPr>
        <w:t xml:space="preserve"> </w:t>
      </w:r>
      <w:r w:rsidRPr="00B90724">
        <w:rPr>
          <w:lang w:val="en-US"/>
        </w:rPr>
        <w:t>PPCs</w:t>
      </w:r>
      <w:r w:rsidR="00E70C78" w:rsidRPr="00B90724">
        <w:rPr>
          <w:lang w:val="en-US"/>
        </w:rPr>
        <w:t xml:space="preserve">. </w:t>
      </w:r>
      <w:r w:rsidRPr="00B90724">
        <w:rPr>
          <w:lang w:val="en-US"/>
        </w:rPr>
        <w:t>The findings suggest that individualized PEEP improves oxygenation and respiratory mechanics without prolonging anesthesia</w:t>
      </w:r>
      <w:r w:rsidR="00EA2B4F" w:rsidRPr="00B90724">
        <w:rPr>
          <w:lang w:val="en-US"/>
        </w:rPr>
        <w:t xml:space="preserve"> or </w:t>
      </w:r>
      <w:r w:rsidR="001A2E8B" w:rsidRPr="00B90724">
        <w:rPr>
          <w:lang w:val="en-US"/>
        </w:rPr>
        <w:t>surgical</w:t>
      </w:r>
      <w:r w:rsidRPr="00B90724">
        <w:rPr>
          <w:lang w:val="en-US"/>
        </w:rPr>
        <w:t xml:space="preserve"> time</w:t>
      </w:r>
      <w:r w:rsidR="001A2E8B" w:rsidRPr="00B90724">
        <w:rPr>
          <w:lang w:val="en-US"/>
        </w:rPr>
        <w:t xml:space="preserve"> </w:t>
      </w:r>
      <w:r w:rsidRPr="00B90724">
        <w:rPr>
          <w:lang w:val="en-US"/>
        </w:rPr>
        <w:t>or significantly affecting hemodynamics in most patients. Although</w:t>
      </w:r>
      <w:r w:rsidR="001A2E8B" w:rsidRPr="00B90724">
        <w:rPr>
          <w:lang w:val="en-US"/>
        </w:rPr>
        <w:t xml:space="preserve"> </w:t>
      </w:r>
      <w:r w:rsidRPr="00B90724">
        <w:rPr>
          <w:lang w:val="en-US"/>
        </w:rPr>
        <w:t>no corresponding decrease was seen in ICU or hospital length of stay or mortality</w:t>
      </w:r>
      <w:r w:rsidR="001A2E8B" w:rsidRPr="00B90724">
        <w:rPr>
          <w:lang w:val="en-US"/>
        </w:rPr>
        <w:t xml:space="preserve">, </w:t>
      </w:r>
      <w:r w:rsidRPr="00B90724">
        <w:rPr>
          <w:lang w:val="en-US"/>
        </w:rPr>
        <w:t xml:space="preserve">even mild complications can lead to increased workload, and costs—particularly in frail or comorbid patients—highlighting the importance of </w:t>
      </w:r>
      <w:r w:rsidR="00A21C57" w:rsidRPr="00B90724">
        <w:rPr>
          <w:lang w:val="en-US"/>
        </w:rPr>
        <w:t xml:space="preserve">putting effort into individualized </w:t>
      </w:r>
      <w:r w:rsidRPr="00B90724">
        <w:rPr>
          <w:lang w:val="en-US"/>
        </w:rPr>
        <w:t xml:space="preserve">patient </w:t>
      </w:r>
      <w:r w:rsidR="00A21C57" w:rsidRPr="00B90724">
        <w:rPr>
          <w:lang w:val="en-US"/>
        </w:rPr>
        <w:t>management.</w:t>
      </w:r>
    </w:p>
    <w:p w14:paraId="4C8E1716" w14:textId="57162421" w:rsidR="0099550C" w:rsidRPr="00B90724" w:rsidRDefault="001D3B4D" w:rsidP="0099550C">
      <w:pPr>
        <w:rPr>
          <w:lang w:val="en-US"/>
        </w:rPr>
      </w:pPr>
      <w:r w:rsidRPr="00B90724">
        <w:rPr>
          <w:lang w:val="en-US"/>
        </w:rPr>
        <w:t xml:space="preserve">Despite limited high-quality evidence, </w:t>
      </w:r>
      <w:proofErr w:type="spellStart"/>
      <w:r w:rsidRPr="00B90724">
        <w:rPr>
          <w:lang w:val="en-US"/>
        </w:rPr>
        <w:t>hemoadsorption</w:t>
      </w:r>
      <w:proofErr w:type="spellEnd"/>
      <w:r w:rsidRPr="00B90724">
        <w:rPr>
          <w:lang w:val="en-US"/>
        </w:rPr>
        <w:t xml:space="preserve"> appears to be a promising adjunctive therapy in hyperinflammatory ARDS. Clinicians should be aware of its potential to improve oxygenation, reduce vasopressor needs, and indirectly attenuate systemic inflammation.</w:t>
      </w:r>
    </w:p>
    <w:p w14:paraId="50CCFDE3" w14:textId="77777777" w:rsidR="0032494B" w:rsidRPr="00B90724" w:rsidRDefault="0032494B">
      <w:pPr>
        <w:spacing w:line="278" w:lineRule="auto"/>
        <w:jc w:val="left"/>
        <w:rPr>
          <w:rFonts w:eastAsiaTheme="majorEastAsia" w:cstheme="majorBidi"/>
          <w:b/>
          <w:lang w:val="en-US"/>
        </w:rPr>
      </w:pPr>
      <w:r w:rsidRPr="00B90724">
        <w:rPr>
          <w:lang w:val="en-US"/>
        </w:rPr>
        <w:br w:type="page"/>
      </w:r>
    </w:p>
    <w:p w14:paraId="5C3FCF05" w14:textId="190E3326" w:rsidR="00B41FBB" w:rsidRPr="00B90724" w:rsidRDefault="00B41FBB" w:rsidP="0036711F">
      <w:pPr>
        <w:pStyle w:val="Heading1"/>
        <w:rPr>
          <w:szCs w:val="24"/>
          <w:lang w:val="en-US"/>
        </w:rPr>
      </w:pPr>
      <w:bookmarkStart w:id="106" w:name="_Toc211542234"/>
      <w:r w:rsidRPr="00B90724">
        <w:rPr>
          <w:szCs w:val="24"/>
          <w:lang w:val="en-US"/>
        </w:rPr>
        <w:lastRenderedPageBreak/>
        <w:t>12. IMPLEMENTATION FOR</w:t>
      </w:r>
      <w:r w:rsidRPr="00002191">
        <w:t xml:space="preserve"> RESEARCH</w:t>
      </w:r>
      <w:bookmarkEnd w:id="106"/>
      <w:r w:rsidRPr="00B90724">
        <w:rPr>
          <w:szCs w:val="24"/>
          <w:lang w:val="en-US"/>
        </w:rPr>
        <w:t xml:space="preserve"> </w:t>
      </w:r>
    </w:p>
    <w:p w14:paraId="52D3D0D0" w14:textId="55B08A69" w:rsidR="00EA2B4F" w:rsidRPr="00B90724" w:rsidRDefault="00A86379" w:rsidP="0099550C">
      <w:pPr>
        <w:rPr>
          <w:lang w:val="en-US"/>
        </w:rPr>
      </w:pPr>
      <w:r w:rsidRPr="00B90724">
        <w:rPr>
          <w:lang w:val="en-US"/>
        </w:rPr>
        <w:t>T</w:t>
      </w:r>
      <w:r w:rsidR="002B76A2" w:rsidRPr="00B90724">
        <w:rPr>
          <w:lang w:val="en-US"/>
        </w:rPr>
        <w:t xml:space="preserve">he current </w:t>
      </w:r>
      <w:r w:rsidR="00726B13" w:rsidRPr="00B90724">
        <w:rPr>
          <w:lang w:val="en-US"/>
        </w:rPr>
        <w:t xml:space="preserve">data and </w:t>
      </w:r>
      <w:r w:rsidR="002B76A2" w:rsidRPr="00B90724">
        <w:rPr>
          <w:lang w:val="en-US"/>
        </w:rPr>
        <w:t xml:space="preserve">evidence </w:t>
      </w:r>
      <w:proofErr w:type="gramStart"/>
      <w:r w:rsidR="002B76A2" w:rsidRPr="00B90724">
        <w:rPr>
          <w:lang w:val="en-US"/>
        </w:rPr>
        <w:t>is</w:t>
      </w:r>
      <w:proofErr w:type="gramEnd"/>
      <w:r w:rsidR="002B76A2" w:rsidRPr="00B90724">
        <w:rPr>
          <w:lang w:val="en-US"/>
        </w:rPr>
        <w:t xml:space="preserve"> limited by heterogeneity, small sample sizes</w:t>
      </w:r>
      <w:r w:rsidR="00726B13" w:rsidRPr="00B90724">
        <w:rPr>
          <w:lang w:val="en-US"/>
        </w:rPr>
        <w:t xml:space="preserve"> in both topics. </w:t>
      </w:r>
      <w:r w:rsidR="0051317B" w:rsidRPr="00B90724">
        <w:rPr>
          <w:lang w:val="en-US"/>
        </w:rPr>
        <w:t xml:space="preserve">Especially lacking </w:t>
      </w:r>
      <w:r w:rsidR="002B76A2" w:rsidRPr="00B90724">
        <w:rPr>
          <w:lang w:val="en-US"/>
        </w:rPr>
        <w:t>randomized controlled trial</w:t>
      </w:r>
      <w:r w:rsidR="00710F27" w:rsidRPr="00B90724">
        <w:rPr>
          <w:lang w:val="en-US"/>
        </w:rPr>
        <w:t xml:space="preserve">s, </w:t>
      </w:r>
      <w:r w:rsidR="0051317B" w:rsidRPr="00B90724">
        <w:rPr>
          <w:lang w:val="en-US"/>
        </w:rPr>
        <w:t xml:space="preserve">in the research of </w:t>
      </w:r>
      <w:proofErr w:type="spellStart"/>
      <w:r w:rsidR="0051317B" w:rsidRPr="00B90724">
        <w:rPr>
          <w:lang w:val="en-US"/>
        </w:rPr>
        <w:t>hemoadsorption</w:t>
      </w:r>
      <w:proofErr w:type="spellEnd"/>
      <w:r w:rsidR="0051317B" w:rsidRPr="00B90724">
        <w:rPr>
          <w:lang w:val="en-US"/>
        </w:rPr>
        <w:t xml:space="preserve"> as adjuvant therapy. </w:t>
      </w:r>
      <w:r w:rsidR="0051317B" w:rsidRPr="00B90724">
        <w:t xml:space="preserve">The </w:t>
      </w:r>
      <w:proofErr w:type="spellStart"/>
      <w:r w:rsidR="0051317B" w:rsidRPr="00B90724">
        <w:t>heterogeneity</w:t>
      </w:r>
      <w:proofErr w:type="spellEnd"/>
      <w:r w:rsidR="0051317B" w:rsidRPr="00B90724">
        <w:t xml:space="preserve"> of </w:t>
      </w:r>
      <w:proofErr w:type="spellStart"/>
      <w:r w:rsidR="0051317B" w:rsidRPr="00B90724">
        <w:t>treatment</w:t>
      </w:r>
      <w:proofErr w:type="spellEnd"/>
      <w:r w:rsidR="0051317B" w:rsidRPr="00B90724">
        <w:t xml:space="preserve"> </w:t>
      </w:r>
      <w:proofErr w:type="spellStart"/>
      <w:r w:rsidR="0051317B" w:rsidRPr="00B90724">
        <w:t>methods</w:t>
      </w:r>
      <w:proofErr w:type="spellEnd"/>
      <w:r w:rsidR="0051317B" w:rsidRPr="00B90724">
        <w:t xml:space="preserve">, </w:t>
      </w:r>
      <w:proofErr w:type="spellStart"/>
      <w:r w:rsidR="0051317B" w:rsidRPr="00B90724">
        <w:t>outcome</w:t>
      </w:r>
      <w:proofErr w:type="spellEnd"/>
      <w:r w:rsidR="0051317B" w:rsidRPr="00B90724">
        <w:t xml:space="preserve"> </w:t>
      </w:r>
      <w:proofErr w:type="spellStart"/>
      <w:r w:rsidR="0051317B" w:rsidRPr="00B90724">
        <w:t>definitions</w:t>
      </w:r>
      <w:proofErr w:type="spellEnd"/>
      <w:r w:rsidR="0051317B" w:rsidRPr="00B90724">
        <w:t xml:space="preserve">, and </w:t>
      </w:r>
      <w:proofErr w:type="spellStart"/>
      <w:r w:rsidR="0051317B" w:rsidRPr="00B90724">
        <w:t>reporting</w:t>
      </w:r>
      <w:proofErr w:type="spellEnd"/>
      <w:r w:rsidR="0051317B" w:rsidRPr="00B90724">
        <w:t xml:space="preserve"> </w:t>
      </w:r>
      <w:proofErr w:type="spellStart"/>
      <w:r w:rsidR="0051317B" w:rsidRPr="00B90724">
        <w:t>practices</w:t>
      </w:r>
      <w:proofErr w:type="spellEnd"/>
      <w:r w:rsidR="0051317B" w:rsidRPr="00B90724">
        <w:t xml:space="preserve"> </w:t>
      </w:r>
      <w:proofErr w:type="spellStart"/>
      <w:r w:rsidR="0051317B" w:rsidRPr="00B90724">
        <w:t>currently</w:t>
      </w:r>
      <w:proofErr w:type="spellEnd"/>
      <w:r w:rsidR="0051317B" w:rsidRPr="00B90724">
        <w:t xml:space="preserve"> </w:t>
      </w:r>
      <w:proofErr w:type="spellStart"/>
      <w:r w:rsidR="0051317B" w:rsidRPr="00B90724">
        <w:t>limits</w:t>
      </w:r>
      <w:proofErr w:type="spellEnd"/>
      <w:r w:rsidR="0051317B" w:rsidRPr="00B90724">
        <w:t xml:space="preserve"> </w:t>
      </w:r>
      <w:proofErr w:type="spellStart"/>
      <w:r w:rsidR="0051317B" w:rsidRPr="00B90724">
        <w:t>comparability</w:t>
      </w:r>
      <w:proofErr w:type="spellEnd"/>
      <w:r w:rsidR="0051317B" w:rsidRPr="00B90724">
        <w:t xml:space="preserve"> </w:t>
      </w:r>
      <w:proofErr w:type="spellStart"/>
      <w:r w:rsidR="0051317B" w:rsidRPr="00B90724">
        <w:t>across</w:t>
      </w:r>
      <w:proofErr w:type="spellEnd"/>
      <w:r w:rsidR="0051317B" w:rsidRPr="00B90724">
        <w:t xml:space="preserve"> </w:t>
      </w:r>
      <w:proofErr w:type="spellStart"/>
      <w:r w:rsidR="0051317B" w:rsidRPr="00B90724">
        <w:t>trials</w:t>
      </w:r>
      <w:proofErr w:type="spellEnd"/>
      <w:r w:rsidR="0051317B" w:rsidRPr="00B90724">
        <w:t xml:space="preserve">. </w:t>
      </w:r>
      <w:proofErr w:type="spellStart"/>
      <w:r w:rsidR="0051317B" w:rsidRPr="00B90724">
        <w:t>There</w:t>
      </w:r>
      <w:proofErr w:type="spellEnd"/>
      <w:r w:rsidR="0051317B" w:rsidRPr="00B90724">
        <w:t xml:space="preserve"> is </w:t>
      </w:r>
      <w:proofErr w:type="spellStart"/>
      <w:r w:rsidR="0051317B" w:rsidRPr="00B90724">
        <w:t>also</w:t>
      </w:r>
      <w:proofErr w:type="spellEnd"/>
      <w:r w:rsidR="0051317B" w:rsidRPr="00B90724">
        <w:t xml:space="preserve"> a </w:t>
      </w:r>
      <w:proofErr w:type="spellStart"/>
      <w:r w:rsidR="0051317B" w:rsidRPr="00B90724">
        <w:t>lack</w:t>
      </w:r>
      <w:proofErr w:type="spellEnd"/>
      <w:r w:rsidR="0051317B" w:rsidRPr="00B90724">
        <w:t xml:space="preserve"> of </w:t>
      </w:r>
      <w:proofErr w:type="spellStart"/>
      <w:r w:rsidR="0051317B" w:rsidRPr="00B90724">
        <w:t>robust</w:t>
      </w:r>
      <w:proofErr w:type="spellEnd"/>
      <w:r w:rsidR="0051317B" w:rsidRPr="00B90724">
        <w:t xml:space="preserve"> </w:t>
      </w:r>
      <w:proofErr w:type="spellStart"/>
      <w:r w:rsidR="0051317B" w:rsidRPr="00B90724">
        <w:t>data</w:t>
      </w:r>
      <w:proofErr w:type="spellEnd"/>
      <w:r w:rsidR="0051317B" w:rsidRPr="00B90724">
        <w:t xml:space="preserve"> </w:t>
      </w:r>
      <w:proofErr w:type="spellStart"/>
      <w:r w:rsidR="0051317B" w:rsidRPr="00B90724">
        <w:t>on</w:t>
      </w:r>
      <w:proofErr w:type="spellEnd"/>
      <w:r w:rsidR="0051317B" w:rsidRPr="00B90724">
        <w:t xml:space="preserve"> </w:t>
      </w:r>
      <w:proofErr w:type="spellStart"/>
      <w:r w:rsidR="0051317B" w:rsidRPr="00B90724">
        <w:t>important</w:t>
      </w:r>
      <w:proofErr w:type="spellEnd"/>
      <w:r w:rsidR="0051317B" w:rsidRPr="00B90724">
        <w:t xml:space="preserve"> </w:t>
      </w:r>
      <w:proofErr w:type="spellStart"/>
      <w:r w:rsidR="0051317B" w:rsidRPr="00B90724">
        <w:t>secondary</w:t>
      </w:r>
      <w:proofErr w:type="spellEnd"/>
      <w:r w:rsidR="0051317B" w:rsidRPr="00B90724">
        <w:t xml:space="preserve"> </w:t>
      </w:r>
      <w:proofErr w:type="spellStart"/>
      <w:r w:rsidR="0051317B" w:rsidRPr="00B90724">
        <w:t>outcomes</w:t>
      </w:r>
      <w:proofErr w:type="spellEnd"/>
      <w:r w:rsidR="0051317B" w:rsidRPr="00B90724">
        <w:t xml:space="preserve"> </w:t>
      </w:r>
      <w:proofErr w:type="spellStart"/>
      <w:r w:rsidR="0051317B" w:rsidRPr="00B90724">
        <w:t>such</w:t>
      </w:r>
      <w:proofErr w:type="spellEnd"/>
      <w:r w:rsidR="0051317B" w:rsidRPr="00B90724">
        <w:t xml:space="preserve"> </w:t>
      </w:r>
      <w:proofErr w:type="spellStart"/>
      <w:r w:rsidR="0051317B" w:rsidRPr="00B90724">
        <w:t>as</w:t>
      </w:r>
      <w:proofErr w:type="spellEnd"/>
      <w:r w:rsidR="0051317B" w:rsidRPr="00B90724">
        <w:t xml:space="preserve"> </w:t>
      </w:r>
      <w:proofErr w:type="spellStart"/>
      <w:r w:rsidR="0051317B" w:rsidRPr="00B90724">
        <w:t>hemodynamic</w:t>
      </w:r>
      <w:proofErr w:type="spellEnd"/>
      <w:r w:rsidR="0051317B" w:rsidRPr="00B90724">
        <w:t xml:space="preserve"> </w:t>
      </w:r>
      <w:proofErr w:type="spellStart"/>
      <w:r w:rsidR="0051317B" w:rsidRPr="00B90724">
        <w:t>effects</w:t>
      </w:r>
      <w:proofErr w:type="spellEnd"/>
      <w:r w:rsidR="0051317B" w:rsidRPr="00B90724">
        <w:t xml:space="preserve">, </w:t>
      </w:r>
      <w:proofErr w:type="spellStart"/>
      <w:r w:rsidR="0051317B" w:rsidRPr="00B90724">
        <w:t>vasopressor</w:t>
      </w:r>
      <w:proofErr w:type="spellEnd"/>
      <w:r w:rsidR="0051317B" w:rsidRPr="00B90724">
        <w:t xml:space="preserve"> </w:t>
      </w:r>
      <w:proofErr w:type="spellStart"/>
      <w:r w:rsidR="0051317B" w:rsidRPr="00B90724">
        <w:t>requirements</w:t>
      </w:r>
      <w:proofErr w:type="spellEnd"/>
      <w:r w:rsidR="0051317B" w:rsidRPr="00B90724">
        <w:t xml:space="preserve">, and </w:t>
      </w:r>
      <w:proofErr w:type="spellStart"/>
      <w:r w:rsidR="0051317B" w:rsidRPr="00B90724">
        <w:t>patient</w:t>
      </w:r>
      <w:proofErr w:type="spellEnd"/>
      <w:r w:rsidR="0051317B" w:rsidRPr="00B90724">
        <w:t xml:space="preserve">-centered </w:t>
      </w:r>
      <w:proofErr w:type="spellStart"/>
      <w:r w:rsidR="0051317B" w:rsidRPr="00B90724">
        <w:t>recovery</w:t>
      </w:r>
      <w:proofErr w:type="spellEnd"/>
      <w:r w:rsidR="0051317B" w:rsidRPr="00B90724">
        <w:t xml:space="preserve"> markers.</w:t>
      </w:r>
      <w:r w:rsidR="00710F27" w:rsidRPr="00B90724">
        <w:t xml:space="preserve"> </w:t>
      </w:r>
      <w:r w:rsidR="002B76A2" w:rsidRPr="00B90724">
        <w:rPr>
          <w:lang w:val="en-US"/>
        </w:rPr>
        <w:t xml:space="preserve">Future research must aim to address these limitations through well-designed, adequately powered trials. </w:t>
      </w:r>
    </w:p>
    <w:p w14:paraId="45A9382F" w14:textId="073D29B2" w:rsidR="009D62C6" w:rsidRPr="00B90724" w:rsidRDefault="009D62C6" w:rsidP="0036711F">
      <w:pPr>
        <w:rPr>
          <w:rFonts w:eastAsiaTheme="majorEastAsia" w:cstheme="majorBidi"/>
          <w:b/>
          <w:lang w:val="en-US"/>
        </w:rPr>
      </w:pPr>
      <w:r w:rsidRPr="00B90724">
        <w:rPr>
          <w:lang w:val="en-US"/>
        </w:rPr>
        <w:br w:type="page"/>
      </w:r>
    </w:p>
    <w:p w14:paraId="7EDE48DF" w14:textId="77777777" w:rsidR="0083234C" w:rsidRDefault="006D1920" w:rsidP="00002191">
      <w:pPr>
        <w:pStyle w:val="Heading1"/>
        <w:rPr>
          <w:caps/>
        </w:rPr>
      </w:pPr>
      <w:bookmarkStart w:id="107" w:name="_Toc211542235"/>
      <w:r w:rsidRPr="006D1920">
        <w:lastRenderedPageBreak/>
        <w:t xml:space="preserve">13. </w:t>
      </w:r>
      <w:r w:rsidRPr="00002191">
        <w:rPr>
          <w:caps/>
        </w:rPr>
        <w:t>Implementation for Policymakers</w:t>
      </w:r>
      <w:bookmarkEnd w:id="107"/>
    </w:p>
    <w:p w14:paraId="7E2A7D55" w14:textId="4A33084B" w:rsidR="004077B0" w:rsidRDefault="004077B0" w:rsidP="00CB7196">
      <w:r>
        <w:t xml:space="preserve">The </w:t>
      </w:r>
      <w:proofErr w:type="spellStart"/>
      <w:r>
        <w:t>effects</w:t>
      </w:r>
      <w:proofErr w:type="spellEnd"/>
      <w:r>
        <w:t xml:space="preserve"> of </w:t>
      </w:r>
      <w:proofErr w:type="spellStart"/>
      <w:r>
        <w:t>individualized</w:t>
      </w:r>
      <w:proofErr w:type="spellEnd"/>
      <w:r>
        <w:t xml:space="preserve"> PEEP </w:t>
      </w:r>
      <w:proofErr w:type="spellStart"/>
      <w:r>
        <w:t>titration</w:t>
      </w:r>
      <w:proofErr w:type="spellEnd"/>
      <w:r>
        <w:t xml:space="preserve"> </w:t>
      </w:r>
      <w:proofErr w:type="spellStart"/>
      <w:r>
        <w:t>should</w:t>
      </w:r>
      <w:proofErr w:type="spellEnd"/>
      <w:r>
        <w:t xml:space="preserve"> be </w:t>
      </w:r>
      <w:proofErr w:type="spellStart"/>
      <w:r>
        <w:t>studied</w:t>
      </w:r>
      <w:proofErr w:type="spellEnd"/>
      <w:r>
        <w:t xml:space="preserve"> </w:t>
      </w:r>
      <w:proofErr w:type="spellStart"/>
      <w:r>
        <w:t>further</w:t>
      </w:r>
      <w:proofErr w:type="spellEnd"/>
      <w:r>
        <w:t xml:space="preserve"> and, </w:t>
      </w:r>
      <w:proofErr w:type="spellStart"/>
      <w:r>
        <w:t>if</w:t>
      </w:r>
      <w:proofErr w:type="spellEnd"/>
      <w:r>
        <w:t xml:space="preserve"> </w:t>
      </w:r>
      <w:proofErr w:type="spellStart"/>
      <w:r>
        <w:t>future</w:t>
      </w:r>
      <w:proofErr w:type="spellEnd"/>
      <w:r>
        <w:t xml:space="preserve"> </w:t>
      </w:r>
      <w:proofErr w:type="spellStart"/>
      <w:r>
        <w:t>evidence</w:t>
      </w:r>
      <w:proofErr w:type="spellEnd"/>
      <w:r>
        <w:t xml:space="preserve"> </w:t>
      </w:r>
      <w:proofErr w:type="spellStart"/>
      <w:r>
        <w:t>confirms</w:t>
      </w:r>
      <w:proofErr w:type="spellEnd"/>
      <w:r>
        <w:t xml:space="preserve"> </w:t>
      </w:r>
      <w:proofErr w:type="spellStart"/>
      <w:r>
        <w:t>its</w:t>
      </w:r>
      <w:proofErr w:type="spellEnd"/>
      <w:r>
        <w:t xml:space="preserve"> </w:t>
      </w:r>
      <w:proofErr w:type="spellStart"/>
      <w:r>
        <w:t>benefits</w:t>
      </w:r>
      <w:proofErr w:type="spellEnd"/>
      <w:r>
        <w:t xml:space="preserve">, </w:t>
      </w:r>
      <w:proofErr w:type="spellStart"/>
      <w:r>
        <w:t>its</w:t>
      </w:r>
      <w:proofErr w:type="spellEnd"/>
      <w:r>
        <w:t xml:space="preserve"> </w:t>
      </w:r>
      <w:proofErr w:type="spellStart"/>
      <w:r>
        <w:t>use</w:t>
      </w:r>
      <w:proofErr w:type="spellEnd"/>
      <w:r>
        <w:t xml:space="preserve"> </w:t>
      </w:r>
      <w:proofErr w:type="spellStart"/>
      <w:r>
        <w:t>should</w:t>
      </w:r>
      <w:proofErr w:type="spellEnd"/>
      <w:r>
        <w:t xml:space="preserve"> be </w:t>
      </w:r>
      <w:proofErr w:type="spellStart"/>
      <w:r>
        <w:t>encouraged</w:t>
      </w:r>
      <w:proofErr w:type="spellEnd"/>
      <w:r>
        <w:t xml:space="preserve">, </w:t>
      </w:r>
      <w:proofErr w:type="spellStart"/>
      <w:r>
        <w:t>as</w:t>
      </w:r>
      <w:proofErr w:type="spellEnd"/>
      <w:r>
        <w:t xml:space="preserve"> </w:t>
      </w:r>
      <w:proofErr w:type="spellStart"/>
      <w:r>
        <w:t>it</w:t>
      </w:r>
      <w:proofErr w:type="spellEnd"/>
      <w:r>
        <w:t xml:space="preserve"> </w:t>
      </w:r>
      <w:proofErr w:type="spellStart"/>
      <w:r>
        <w:t>may</w:t>
      </w:r>
      <w:proofErr w:type="spellEnd"/>
      <w:r>
        <w:t xml:space="preserve"> </w:t>
      </w:r>
      <w:proofErr w:type="spellStart"/>
      <w:r>
        <w:t>lower</w:t>
      </w:r>
      <w:proofErr w:type="spellEnd"/>
      <w:r>
        <w:t xml:space="preserve"> </w:t>
      </w:r>
      <w:proofErr w:type="spellStart"/>
      <w:r>
        <w:t>the</w:t>
      </w:r>
      <w:proofErr w:type="spellEnd"/>
      <w:r>
        <w:t xml:space="preserve"> </w:t>
      </w:r>
      <w:proofErr w:type="spellStart"/>
      <w:r>
        <w:t>risk</w:t>
      </w:r>
      <w:proofErr w:type="spellEnd"/>
      <w:r>
        <w:t xml:space="preserve"> of </w:t>
      </w:r>
      <w:proofErr w:type="spellStart"/>
      <w:r>
        <w:t>postoperative</w:t>
      </w:r>
      <w:proofErr w:type="spellEnd"/>
      <w:r>
        <w:t xml:space="preserve"> </w:t>
      </w:r>
      <w:proofErr w:type="spellStart"/>
      <w:r>
        <w:t>lung</w:t>
      </w:r>
      <w:proofErr w:type="spellEnd"/>
      <w:r>
        <w:t xml:space="preserve"> </w:t>
      </w:r>
      <w:proofErr w:type="spellStart"/>
      <w:r>
        <w:t>complications</w:t>
      </w:r>
      <w:proofErr w:type="spellEnd"/>
      <w:r>
        <w:t xml:space="preserve"> and </w:t>
      </w:r>
      <w:proofErr w:type="spellStart"/>
      <w:r>
        <w:t>improve</w:t>
      </w:r>
      <w:proofErr w:type="spellEnd"/>
      <w:r>
        <w:t xml:space="preserve"> </w:t>
      </w:r>
      <w:proofErr w:type="spellStart"/>
      <w:r>
        <w:t>oxygenation</w:t>
      </w:r>
      <w:proofErr w:type="spellEnd"/>
      <w:r>
        <w:t xml:space="preserve">. </w:t>
      </w:r>
      <w:proofErr w:type="spellStart"/>
      <w:r>
        <w:t>To</w:t>
      </w:r>
      <w:proofErr w:type="spellEnd"/>
      <w:r>
        <w:t xml:space="preserve"> </w:t>
      </w:r>
      <w:proofErr w:type="spellStart"/>
      <w:r>
        <w:t>achieve</w:t>
      </w:r>
      <w:proofErr w:type="spellEnd"/>
      <w:r>
        <w:t xml:space="preserve"> </w:t>
      </w:r>
      <w:proofErr w:type="spellStart"/>
      <w:r>
        <w:t>this</w:t>
      </w:r>
      <w:proofErr w:type="spellEnd"/>
      <w:r>
        <w:t xml:space="preserve">, </w:t>
      </w:r>
      <w:proofErr w:type="spellStart"/>
      <w:r>
        <w:t>operating</w:t>
      </w:r>
      <w:proofErr w:type="spellEnd"/>
      <w:r>
        <w:t xml:space="preserve"> </w:t>
      </w:r>
      <w:proofErr w:type="spellStart"/>
      <w:r>
        <w:t>rooms</w:t>
      </w:r>
      <w:proofErr w:type="spellEnd"/>
      <w:r>
        <w:t xml:space="preserve"> </w:t>
      </w:r>
      <w:proofErr w:type="spellStart"/>
      <w:r>
        <w:t>need</w:t>
      </w:r>
      <w:proofErr w:type="spellEnd"/>
      <w:r>
        <w:t xml:space="preserve"> </w:t>
      </w:r>
      <w:proofErr w:type="spellStart"/>
      <w:r>
        <w:t>access</w:t>
      </w:r>
      <w:proofErr w:type="spellEnd"/>
      <w:r>
        <w:t xml:space="preserve"> </w:t>
      </w:r>
      <w:proofErr w:type="spellStart"/>
      <w:r>
        <w:t>to</w:t>
      </w:r>
      <w:proofErr w:type="spellEnd"/>
      <w:r>
        <w:t xml:space="preserve"> </w:t>
      </w:r>
      <w:proofErr w:type="spellStart"/>
      <w:r>
        <w:t>titration</w:t>
      </w:r>
      <w:proofErr w:type="spellEnd"/>
      <w:r>
        <w:t xml:space="preserve"> </w:t>
      </w:r>
      <w:proofErr w:type="spellStart"/>
      <w:r>
        <w:t>methods</w:t>
      </w:r>
      <w:proofErr w:type="spellEnd"/>
      <w:r>
        <w:t xml:space="preserve">, </w:t>
      </w:r>
      <w:proofErr w:type="spellStart"/>
      <w:r>
        <w:t>clear</w:t>
      </w:r>
      <w:proofErr w:type="spellEnd"/>
      <w:r>
        <w:t xml:space="preserve"> </w:t>
      </w:r>
      <w:proofErr w:type="spellStart"/>
      <w:r>
        <w:t>documentation</w:t>
      </w:r>
      <w:proofErr w:type="spellEnd"/>
      <w:r>
        <w:t xml:space="preserve"> of </w:t>
      </w:r>
      <w:proofErr w:type="spellStart"/>
      <w:r>
        <w:t>ventilation</w:t>
      </w:r>
      <w:proofErr w:type="spellEnd"/>
      <w:r>
        <w:t xml:space="preserve"> </w:t>
      </w:r>
      <w:proofErr w:type="spellStart"/>
      <w:r>
        <w:t>settings</w:t>
      </w:r>
      <w:proofErr w:type="spellEnd"/>
      <w:r>
        <w:t xml:space="preserve">, and </w:t>
      </w:r>
      <w:proofErr w:type="spellStart"/>
      <w:r>
        <w:t>safety</w:t>
      </w:r>
      <w:proofErr w:type="spellEnd"/>
      <w:r>
        <w:t xml:space="preserve"> </w:t>
      </w:r>
      <w:proofErr w:type="spellStart"/>
      <w:r>
        <w:t>checks</w:t>
      </w:r>
      <w:proofErr w:type="spellEnd"/>
      <w:r>
        <w:t xml:space="preserve"> </w:t>
      </w:r>
      <w:proofErr w:type="spellStart"/>
      <w:r>
        <w:t>for</w:t>
      </w:r>
      <w:proofErr w:type="spellEnd"/>
      <w:r>
        <w:t xml:space="preserve"> </w:t>
      </w:r>
      <w:proofErr w:type="spellStart"/>
      <w:r>
        <w:t>vasopressor</w:t>
      </w:r>
      <w:proofErr w:type="spellEnd"/>
      <w:r>
        <w:t xml:space="preserve"> </w:t>
      </w:r>
      <w:proofErr w:type="spellStart"/>
      <w:r>
        <w:t>use</w:t>
      </w:r>
      <w:proofErr w:type="spellEnd"/>
      <w:r>
        <w:t xml:space="preserve">. </w:t>
      </w:r>
      <w:proofErr w:type="spellStart"/>
      <w:r>
        <w:t>Policymakers</w:t>
      </w:r>
      <w:proofErr w:type="spellEnd"/>
      <w:r>
        <w:t xml:space="preserve"> </w:t>
      </w:r>
      <w:proofErr w:type="spellStart"/>
      <w:r>
        <w:t>should</w:t>
      </w:r>
      <w:proofErr w:type="spellEnd"/>
      <w:r>
        <w:t xml:space="preserve"> </w:t>
      </w:r>
      <w:proofErr w:type="spellStart"/>
      <w:r>
        <w:t>also</w:t>
      </w:r>
      <w:proofErr w:type="spellEnd"/>
      <w:r>
        <w:t xml:space="preserve"> </w:t>
      </w:r>
      <w:proofErr w:type="spellStart"/>
      <w:r>
        <w:t>support</w:t>
      </w:r>
      <w:proofErr w:type="spellEnd"/>
      <w:r>
        <w:t xml:space="preserve"> </w:t>
      </w:r>
      <w:proofErr w:type="spellStart"/>
      <w:r>
        <w:t>larger</w:t>
      </w:r>
      <w:proofErr w:type="spellEnd"/>
      <w:r>
        <w:t xml:space="preserve"> </w:t>
      </w:r>
      <w:proofErr w:type="spellStart"/>
      <w:r>
        <w:t>trials</w:t>
      </w:r>
      <w:proofErr w:type="spellEnd"/>
      <w:r>
        <w:t xml:space="preserve"> </w:t>
      </w:r>
      <w:proofErr w:type="spellStart"/>
      <w:r>
        <w:t>comparing</w:t>
      </w:r>
      <w:proofErr w:type="spellEnd"/>
      <w:r>
        <w:t xml:space="preserve"> </w:t>
      </w:r>
      <w:proofErr w:type="spellStart"/>
      <w:r>
        <w:t>individualized</w:t>
      </w:r>
      <w:proofErr w:type="spellEnd"/>
      <w:r>
        <w:t xml:space="preserve"> and fixed PEEP </w:t>
      </w:r>
      <w:proofErr w:type="spellStart"/>
      <w:r>
        <w:t>levels</w:t>
      </w:r>
      <w:proofErr w:type="spellEnd"/>
      <w:r>
        <w:t>.</w:t>
      </w:r>
    </w:p>
    <w:p w14:paraId="39B0AEB8" w14:textId="2AE35AA4" w:rsidR="006D1920" w:rsidRDefault="004077B0" w:rsidP="00CB7196">
      <w:pPr>
        <w:rPr>
          <w:rFonts w:eastAsiaTheme="majorEastAsia" w:cstheme="majorBidi"/>
          <w:b/>
          <w:lang w:val="en-US"/>
        </w:rPr>
      </w:pPr>
      <w:proofErr w:type="spellStart"/>
      <w:r>
        <w:t>For</w:t>
      </w:r>
      <w:proofErr w:type="spellEnd"/>
      <w:r>
        <w:t xml:space="preserve"> </w:t>
      </w:r>
      <w:proofErr w:type="spellStart"/>
      <w:r>
        <w:t>hemoadsorption</w:t>
      </w:r>
      <w:proofErr w:type="spellEnd"/>
      <w:r>
        <w:t xml:space="preserve"> in ARDS, </w:t>
      </w:r>
      <w:proofErr w:type="spellStart"/>
      <w:r>
        <w:t>research</w:t>
      </w:r>
      <w:proofErr w:type="spellEnd"/>
      <w:r>
        <w:t xml:space="preserve"> is more </w:t>
      </w:r>
      <w:proofErr w:type="spellStart"/>
      <w:r>
        <w:t>difficult</w:t>
      </w:r>
      <w:proofErr w:type="spellEnd"/>
      <w:r>
        <w:t xml:space="preserve"> </w:t>
      </w:r>
      <w:proofErr w:type="spellStart"/>
      <w:r>
        <w:t>because</w:t>
      </w:r>
      <w:proofErr w:type="spellEnd"/>
      <w:r>
        <w:t xml:space="preserve"> </w:t>
      </w:r>
      <w:proofErr w:type="spellStart"/>
      <w:r>
        <w:t>only</w:t>
      </w:r>
      <w:proofErr w:type="spellEnd"/>
      <w:r>
        <w:t xml:space="preserve"> a </w:t>
      </w:r>
      <w:proofErr w:type="spellStart"/>
      <w:r>
        <w:t>few</w:t>
      </w:r>
      <w:proofErr w:type="spellEnd"/>
      <w:r>
        <w:t xml:space="preserve">, </w:t>
      </w:r>
      <w:proofErr w:type="spellStart"/>
      <w:r>
        <w:t>very</w:t>
      </w:r>
      <w:proofErr w:type="spellEnd"/>
      <w:r>
        <w:t xml:space="preserve"> </w:t>
      </w:r>
      <w:proofErr w:type="spellStart"/>
      <w:r>
        <w:t>different</w:t>
      </w:r>
      <w:proofErr w:type="spellEnd"/>
      <w:r>
        <w:t xml:space="preserve"> </w:t>
      </w:r>
      <w:proofErr w:type="spellStart"/>
      <w:r>
        <w:t>studies</w:t>
      </w:r>
      <w:proofErr w:type="spellEnd"/>
      <w:r>
        <w:t xml:space="preserve"> </w:t>
      </w:r>
      <w:proofErr w:type="spellStart"/>
      <w:r>
        <w:t>are</w:t>
      </w:r>
      <w:proofErr w:type="spellEnd"/>
      <w:r>
        <w:t xml:space="preserve"> </w:t>
      </w:r>
      <w:proofErr w:type="spellStart"/>
      <w:r>
        <w:t>available</w:t>
      </w:r>
      <w:proofErr w:type="spellEnd"/>
      <w:r>
        <w:t xml:space="preserve">, and </w:t>
      </w:r>
      <w:proofErr w:type="spellStart"/>
      <w:r>
        <w:t>there</w:t>
      </w:r>
      <w:proofErr w:type="spellEnd"/>
      <w:r>
        <w:t xml:space="preserve"> </w:t>
      </w:r>
      <w:proofErr w:type="spellStart"/>
      <w:r>
        <w:t>are</w:t>
      </w:r>
      <w:proofErr w:type="spellEnd"/>
      <w:r>
        <w:t xml:space="preserve"> no </w:t>
      </w:r>
      <w:proofErr w:type="spellStart"/>
      <w:r>
        <w:t>registries</w:t>
      </w:r>
      <w:proofErr w:type="spellEnd"/>
      <w:r>
        <w:t xml:space="preserve">. </w:t>
      </w:r>
      <w:proofErr w:type="spellStart"/>
      <w:r>
        <w:t>To</w:t>
      </w:r>
      <w:proofErr w:type="spellEnd"/>
      <w:r>
        <w:t xml:space="preserve"> </w:t>
      </w:r>
      <w:proofErr w:type="spellStart"/>
      <w:r>
        <w:t>move</w:t>
      </w:r>
      <w:proofErr w:type="spellEnd"/>
      <w:r>
        <w:t xml:space="preserve"> </w:t>
      </w:r>
      <w:proofErr w:type="spellStart"/>
      <w:r>
        <w:t>forward</w:t>
      </w:r>
      <w:proofErr w:type="spellEnd"/>
      <w:r>
        <w:t xml:space="preserve">, </w:t>
      </w:r>
      <w:proofErr w:type="spellStart"/>
      <w:r>
        <w:t>results</w:t>
      </w:r>
      <w:proofErr w:type="spellEnd"/>
      <w:r>
        <w:t xml:space="preserve"> </w:t>
      </w:r>
      <w:proofErr w:type="spellStart"/>
      <w:r>
        <w:t>on</w:t>
      </w:r>
      <w:proofErr w:type="spellEnd"/>
      <w:r>
        <w:t xml:space="preserve"> </w:t>
      </w:r>
      <w:proofErr w:type="spellStart"/>
      <w:r>
        <w:t>oxygenation</w:t>
      </w:r>
      <w:proofErr w:type="spellEnd"/>
      <w:r>
        <w:t xml:space="preserve">, </w:t>
      </w:r>
      <w:proofErr w:type="spellStart"/>
      <w:r>
        <w:t>hemodynamics</w:t>
      </w:r>
      <w:proofErr w:type="spellEnd"/>
      <w:r>
        <w:t xml:space="preserve">, and </w:t>
      </w:r>
      <w:proofErr w:type="spellStart"/>
      <w:r>
        <w:t>outcomes</w:t>
      </w:r>
      <w:proofErr w:type="spellEnd"/>
      <w:r>
        <w:t xml:space="preserve"> </w:t>
      </w:r>
      <w:proofErr w:type="spellStart"/>
      <w:r>
        <w:t>should</w:t>
      </w:r>
      <w:proofErr w:type="spellEnd"/>
      <w:r>
        <w:t xml:space="preserve"> be </w:t>
      </w:r>
      <w:proofErr w:type="spellStart"/>
      <w:r>
        <w:t>reported</w:t>
      </w:r>
      <w:proofErr w:type="spellEnd"/>
      <w:r>
        <w:t xml:space="preserve"> in </w:t>
      </w:r>
      <w:proofErr w:type="gramStart"/>
      <w:r>
        <w:t>a</w:t>
      </w:r>
      <w:proofErr w:type="gramEnd"/>
      <w:r>
        <w:t xml:space="preserve"> uniform </w:t>
      </w:r>
      <w:proofErr w:type="spellStart"/>
      <w:r>
        <w:t>way</w:t>
      </w:r>
      <w:proofErr w:type="spellEnd"/>
      <w:r w:rsidR="00CB7196">
        <w:t>.</w:t>
      </w:r>
      <w:r w:rsidR="006D1920">
        <w:rPr>
          <w:lang w:val="en-US"/>
        </w:rPr>
        <w:br w:type="page"/>
      </w:r>
    </w:p>
    <w:p w14:paraId="089EAC61" w14:textId="16062943" w:rsidR="00B41FBB" w:rsidRPr="00B90724" w:rsidRDefault="00B41FBB" w:rsidP="0036711F">
      <w:pPr>
        <w:pStyle w:val="Heading1"/>
        <w:rPr>
          <w:szCs w:val="24"/>
          <w:lang w:val="en-US"/>
        </w:rPr>
      </w:pPr>
      <w:bookmarkStart w:id="108" w:name="_Toc211542236"/>
      <w:r w:rsidRPr="00B90724">
        <w:rPr>
          <w:szCs w:val="24"/>
          <w:lang w:val="en-US"/>
        </w:rPr>
        <w:lastRenderedPageBreak/>
        <w:t>1</w:t>
      </w:r>
      <w:r w:rsidR="00002191">
        <w:rPr>
          <w:szCs w:val="24"/>
          <w:lang w:val="en-US"/>
        </w:rPr>
        <w:t>4</w:t>
      </w:r>
      <w:r w:rsidRPr="00B90724">
        <w:rPr>
          <w:szCs w:val="24"/>
          <w:lang w:val="en-US"/>
        </w:rPr>
        <w:t>. FUTURE PERSPECTIVES</w:t>
      </w:r>
      <w:bookmarkEnd w:id="108"/>
      <w:r w:rsidRPr="00B90724">
        <w:rPr>
          <w:szCs w:val="24"/>
          <w:lang w:val="en-US"/>
        </w:rPr>
        <w:t xml:space="preserve"> </w:t>
      </w:r>
    </w:p>
    <w:p w14:paraId="31423E1C" w14:textId="28ACD428" w:rsidR="0037380D" w:rsidRPr="00B90724" w:rsidRDefault="006948F8" w:rsidP="0037380D">
      <w:pPr>
        <w:rPr>
          <w:lang w:val="en-US"/>
        </w:rPr>
      </w:pPr>
      <w:r w:rsidRPr="00B90724">
        <w:rPr>
          <w:lang w:val="en-US"/>
        </w:rPr>
        <w:t xml:space="preserve">The </w:t>
      </w:r>
      <w:r w:rsidR="00B07369" w:rsidRPr="00B90724">
        <w:rPr>
          <w:lang w:val="en-US"/>
        </w:rPr>
        <w:t xml:space="preserve">key to safe and effective mechanical </w:t>
      </w:r>
      <w:r w:rsidR="00BD1BDC" w:rsidRPr="00B90724">
        <w:rPr>
          <w:lang w:val="en-US"/>
        </w:rPr>
        <w:t>ventilation</w:t>
      </w:r>
      <w:r w:rsidRPr="00B90724">
        <w:rPr>
          <w:lang w:val="en-US"/>
        </w:rPr>
        <w:t xml:space="preserve"> </w:t>
      </w:r>
      <w:r w:rsidR="00B07369" w:rsidRPr="00B90724">
        <w:rPr>
          <w:lang w:val="en-US"/>
        </w:rPr>
        <w:t>in the future is</w:t>
      </w:r>
      <w:r w:rsidR="00EA2B4F" w:rsidRPr="00B90724">
        <w:rPr>
          <w:lang w:val="en-US"/>
        </w:rPr>
        <w:t xml:space="preserve"> personalization. </w:t>
      </w:r>
      <w:r w:rsidR="002F774D" w:rsidRPr="00B90724">
        <w:rPr>
          <w:lang w:val="en-US"/>
        </w:rPr>
        <w:t>Novel</w:t>
      </w:r>
      <w:r w:rsidR="00EA2B4F" w:rsidRPr="00B90724">
        <w:rPr>
          <w:lang w:val="en-US"/>
        </w:rPr>
        <w:t xml:space="preserve"> technologies such as electrical impedance tomography (EIT) and esophageal pressure-guided titration may enhance the precision of PEEP setting, </w:t>
      </w:r>
      <w:r w:rsidR="002F774D" w:rsidRPr="00B90724">
        <w:rPr>
          <w:lang w:val="en-US"/>
        </w:rPr>
        <w:t>allow</w:t>
      </w:r>
      <w:r w:rsidR="00EA2B4F" w:rsidRPr="00B90724">
        <w:rPr>
          <w:lang w:val="en-US"/>
        </w:rPr>
        <w:t xml:space="preserve"> real-time optimization during surgery</w:t>
      </w:r>
      <w:r w:rsidR="002F774D" w:rsidRPr="00B90724">
        <w:rPr>
          <w:lang w:val="en-US"/>
        </w:rPr>
        <w:t xml:space="preserve"> and intensive care unit treatment</w:t>
      </w:r>
      <w:r w:rsidR="00EA2B4F" w:rsidRPr="00B90724">
        <w:rPr>
          <w:lang w:val="en-US"/>
        </w:rPr>
        <w:t>.</w:t>
      </w:r>
      <w:r w:rsidR="00B07369" w:rsidRPr="00B90724">
        <w:rPr>
          <w:lang w:val="en-US"/>
        </w:rPr>
        <w:t xml:space="preserve"> </w:t>
      </w:r>
      <w:r w:rsidR="00EA2B4F" w:rsidRPr="00B90724">
        <w:rPr>
          <w:lang w:val="en-US"/>
        </w:rPr>
        <w:t xml:space="preserve">With better-designed studies and refined clinical tools, individualized </w:t>
      </w:r>
      <w:r w:rsidR="0032483E" w:rsidRPr="00B90724">
        <w:rPr>
          <w:lang w:val="en-US"/>
        </w:rPr>
        <w:t xml:space="preserve">strategies in the OR may </w:t>
      </w:r>
      <w:proofErr w:type="gramStart"/>
      <w:r w:rsidR="0032483E" w:rsidRPr="00B90724">
        <w:rPr>
          <w:lang w:val="en-US"/>
        </w:rPr>
        <w:t>a</w:t>
      </w:r>
      <w:r w:rsidR="00EA2B4F" w:rsidRPr="00B90724">
        <w:rPr>
          <w:lang w:val="en-US"/>
        </w:rPr>
        <w:t xml:space="preserve"> standard care</w:t>
      </w:r>
      <w:proofErr w:type="gramEnd"/>
      <w:r w:rsidR="00EA2B4F" w:rsidRPr="00B90724">
        <w:rPr>
          <w:lang w:val="en-US"/>
        </w:rPr>
        <w:t xml:space="preserve"> in patients undergoing surgeries.</w:t>
      </w:r>
      <w:r w:rsidR="00B07369" w:rsidRPr="00B90724">
        <w:rPr>
          <w:lang w:val="en-US"/>
        </w:rPr>
        <w:t xml:space="preserve"> Finally, one cannot exclude the implementation of artificial intelligence and automated strategies in the everyday clinical routine, which enables us to titrate ventilator settings for the patients’ actual needs all around the clock.  </w:t>
      </w:r>
    </w:p>
    <w:p w14:paraId="4FE392BF" w14:textId="13FF1672" w:rsidR="009D62C6" w:rsidRPr="00483D15" w:rsidRDefault="0037380D" w:rsidP="0036711F">
      <w:pPr>
        <w:rPr>
          <w:rFonts w:eastAsiaTheme="majorEastAsia" w:cstheme="majorBidi"/>
          <w:b/>
          <w:szCs w:val="40"/>
          <w:lang w:val="en-US"/>
        </w:rPr>
      </w:pPr>
      <w:proofErr w:type="spellStart"/>
      <w:r w:rsidRPr="00B90724">
        <w:rPr>
          <w:lang w:val="en-US"/>
        </w:rPr>
        <w:t>Hemoadsorption</w:t>
      </w:r>
      <w:proofErr w:type="spellEnd"/>
      <w:r w:rsidRPr="00B90724">
        <w:rPr>
          <w:lang w:val="en-US"/>
        </w:rPr>
        <w:t xml:space="preserve"> represents a novel direction in the management of ARDS, shifting the focus toward immune modulation and personalized critical care. The </w:t>
      </w:r>
      <w:proofErr w:type="gramStart"/>
      <w:r w:rsidR="0032483E" w:rsidRPr="00B90724">
        <w:rPr>
          <w:lang w:val="en-US"/>
        </w:rPr>
        <w:t xml:space="preserve">relevant </w:t>
      </w:r>
      <w:r w:rsidRPr="00B90724">
        <w:rPr>
          <w:lang w:val="en-US"/>
        </w:rPr>
        <w:t xml:space="preserve"> improvements</w:t>
      </w:r>
      <w:proofErr w:type="gramEnd"/>
      <w:r w:rsidRPr="00B90724">
        <w:rPr>
          <w:lang w:val="en-US"/>
        </w:rPr>
        <w:t xml:space="preserve"> in oxygenation and hemodynamics, co</w:t>
      </w:r>
      <w:r w:rsidR="0032483E" w:rsidRPr="00B90724">
        <w:rPr>
          <w:lang w:val="en-US"/>
        </w:rPr>
        <w:t xml:space="preserve">mbined </w:t>
      </w:r>
      <w:r w:rsidRPr="00B90724">
        <w:rPr>
          <w:lang w:val="en-US"/>
        </w:rPr>
        <w:t xml:space="preserve">with </w:t>
      </w:r>
      <w:r w:rsidR="0032483E" w:rsidRPr="00B90724">
        <w:rPr>
          <w:lang w:val="en-US"/>
        </w:rPr>
        <w:t>th</w:t>
      </w:r>
      <w:r w:rsidRPr="00B90724">
        <w:rPr>
          <w:lang w:val="en-US"/>
        </w:rPr>
        <w:t xml:space="preserve">e safety </w:t>
      </w:r>
      <w:r w:rsidR="0032483E" w:rsidRPr="00B90724">
        <w:rPr>
          <w:lang w:val="en-US"/>
        </w:rPr>
        <w:t xml:space="preserve">of the </w:t>
      </w:r>
      <w:r w:rsidR="00030511" w:rsidRPr="00B90724">
        <w:rPr>
          <w:lang w:val="en-US"/>
        </w:rPr>
        <w:t>therapy</w:t>
      </w:r>
      <w:r w:rsidRPr="00B90724">
        <w:rPr>
          <w:lang w:val="en-US"/>
        </w:rPr>
        <w:t>, suggest that it could become a part of treatment</w:t>
      </w:r>
      <w:r w:rsidR="00030511" w:rsidRPr="00B90724">
        <w:rPr>
          <w:lang w:val="en-US"/>
        </w:rPr>
        <w:t xml:space="preserve"> guidelines</w:t>
      </w:r>
      <w:r w:rsidRPr="00B90724">
        <w:rPr>
          <w:lang w:val="en-US"/>
        </w:rPr>
        <w:t xml:space="preserve"> in severe</w:t>
      </w:r>
      <w:r w:rsidR="00A86379" w:rsidRPr="00B90724">
        <w:rPr>
          <w:lang w:val="en-US"/>
        </w:rPr>
        <w:t xml:space="preserve"> ARDS</w:t>
      </w:r>
      <w:r w:rsidRPr="00B90724">
        <w:rPr>
          <w:lang w:val="en-US"/>
        </w:rPr>
        <w:t>.</w:t>
      </w:r>
      <w:r w:rsidR="009D62C6" w:rsidRPr="00483D15">
        <w:rPr>
          <w:lang w:val="en-US"/>
        </w:rPr>
        <w:br w:type="page"/>
      </w:r>
    </w:p>
    <w:p w14:paraId="0CD96070" w14:textId="07DD4D1A" w:rsidR="00B41FBB" w:rsidRPr="00483D15" w:rsidRDefault="00B41FBB" w:rsidP="0036711F">
      <w:pPr>
        <w:pStyle w:val="Heading1"/>
        <w:rPr>
          <w:b w:val="0"/>
          <w:lang w:val="en-US"/>
        </w:rPr>
      </w:pPr>
      <w:bookmarkStart w:id="109" w:name="_Toc211542237"/>
      <w:r w:rsidRPr="00483D15">
        <w:rPr>
          <w:lang w:val="en-US"/>
        </w:rPr>
        <w:lastRenderedPageBreak/>
        <w:t>15. REFERENCES</w:t>
      </w:r>
      <w:bookmarkEnd w:id="109"/>
    </w:p>
    <w:p w14:paraId="0F8BA7DB" w14:textId="77777777" w:rsidR="00A20273" w:rsidRDefault="00D64352" w:rsidP="00A20273">
      <w:pPr>
        <w:pStyle w:val="Bibliography"/>
      </w:pPr>
      <w:r w:rsidRPr="00483D15">
        <w:rPr>
          <w:lang w:val="en-US"/>
        </w:rPr>
        <w:fldChar w:fldCharType="begin"/>
      </w:r>
      <w:r w:rsidR="00A20273">
        <w:rPr>
          <w:lang w:val="en-US"/>
        </w:rPr>
        <w:instrText xml:space="preserve"> ADDIN ZOTERO_BIBL {"uncited":[],"omitted":[],"custom":[]} CSL_BIBLIOGRAPHY </w:instrText>
      </w:r>
      <w:r w:rsidRPr="00483D15">
        <w:rPr>
          <w:lang w:val="en-US"/>
        </w:rPr>
        <w:fldChar w:fldCharType="separate"/>
      </w:r>
      <w:r w:rsidR="00A20273">
        <w:t xml:space="preserve">1. </w:t>
      </w:r>
      <w:r w:rsidR="00A20273">
        <w:tab/>
        <w:t xml:space="preserve">Pereira ST Mauro R; Morais, Caio CA; Simões, Claudia Marquez; Tonelotto, Bruno Francisco Freitas; Pompeo, Michel S; Kay, Fernando Uliana; Pelosi, Paolo; Vieira, Joaquim Edson; Amato, Marcelo BP. Individual Positive End-expiratory Pressure Settings Optimize Intraoperative Mechanical Ventilation and Reduce Postoperative Atelectasis. Anesthesiology. 2018;129(6):1070–81. </w:t>
      </w:r>
    </w:p>
    <w:p w14:paraId="7BB33820" w14:textId="77777777" w:rsidR="00A20273" w:rsidRDefault="00A20273" w:rsidP="00A20273">
      <w:pPr>
        <w:pStyle w:val="Bibliography"/>
      </w:pPr>
      <w:r>
        <w:t xml:space="preserve">2. </w:t>
      </w:r>
      <w:r>
        <w:tab/>
        <w:t xml:space="preserve">Hedenstierna G. Optimum PEEP During Anesthesia and in Intensive Care is a Compromise but is Better than Nothing. Turk J Anesth Reanim. 2016 Aug 11;44(4):161–2. </w:t>
      </w:r>
    </w:p>
    <w:p w14:paraId="257D0CFA" w14:textId="77777777" w:rsidR="00A20273" w:rsidRDefault="00A20273" w:rsidP="00A20273">
      <w:pPr>
        <w:pStyle w:val="Bibliography"/>
      </w:pPr>
      <w:r>
        <w:t xml:space="preserve">3. </w:t>
      </w:r>
      <w:r>
        <w:tab/>
        <w:t xml:space="preserve">Liu JM Zhipeng; Lv, Ran; Zhang, Yaping; Wang, Gaojian; Xie, Junran. Effect of intraoperative lung-protective mechanical ventilation on pulmonary oxygenation function and postoperative pulmonary complications after laparoscopic radical gastrectomy. Braz J Med Biol Res Rev Bras Pesqui Medicas E Biol. 2019;52(6):e8523-NA. </w:t>
      </w:r>
    </w:p>
    <w:p w14:paraId="49679548" w14:textId="77777777" w:rsidR="00A20273" w:rsidRDefault="00A20273" w:rsidP="00A20273">
      <w:pPr>
        <w:pStyle w:val="Bibliography"/>
      </w:pPr>
      <w:r>
        <w:t xml:space="preserve">4. </w:t>
      </w:r>
      <w:r>
        <w:tab/>
        <w:t xml:space="preserve">Gattinoni LP Paolo; Crotti, S; Valenza, Franco. Effects of positive end-expiratory pressure on regional distribution of tidal volume and recruitment in adult respiratory distress syndrome. Am J Respir Crit Care Med. 1995;151(6):1807–14. </w:t>
      </w:r>
    </w:p>
    <w:p w14:paraId="25D6C96B" w14:textId="77777777" w:rsidR="00A20273" w:rsidRDefault="00A20273" w:rsidP="00A20273">
      <w:pPr>
        <w:pStyle w:val="Bibliography"/>
      </w:pPr>
      <w:r>
        <w:t xml:space="preserve">5. </w:t>
      </w:r>
      <w:r>
        <w:tab/>
        <w:t xml:space="preserve">Maisch SR Hajo; Fuellekrug, Bernd; Weismann, Dieter; Rutkowski, Thomas; Tusman, Gerardo; Bohm, Stephan H. Compliance and dead space fraction indicate an optimal level of positive end-expiratory pressure after recruitment in anesthetized patients. Anesth Analg. 2008;106(1):175–81. </w:t>
      </w:r>
    </w:p>
    <w:p w14:paraId="3BF9D4AE" w14:textId="77777777" w:rsidR="00A20273" w:rsidRDefault="00A20273" w:rsidP="00A20273">
      <w:pPr>
        <w:pStyle w:val="Bibliography"/>
      </w:pPr>
      <w:r>
        <w:t xml:space="preserve">6. </w:t>
      </w:r>
      <w:r>
        <w:tab/>
        <w:t xml:space="preserve">Ruszkai ZK Erika; László, Ildikó; Bokrétás, Gergely Péter; Vizserálek, Dóra; Vámossy, Ildikó; Surány, Erika; Buzogány, István; Bajory, Zoltán; Molnár, Zsolt. Effects of intraoperative positive end-expiratory pressure optimization on respiratory mechanics and the inflammatory response: a randomized controlled trial. J Clin Monit Comput. 2020;35(3):469–82. </w:t>
      </w:r>
    </w:p>
    <w:p w14:paraId="7A60E3A2" w14:textId="77777777" w:rsidR="00A20273" w:rsidRDefault="00A20273" w:rsidP="00A20273">
      <w:pPr>
        <w:pStyle w:val="Bibliography"/>
      </w:pPr>
      <w:r>
        <w:t xml:space="preserve">7. </w:t>
      </w:r>
      <w:r>
        <w:tab/>
        <w:t xml:space="preserve">Hawchar FT Dana; Träger, Karl; Joskowiak, Dominik; Kogelmann, Klaus; Soukup, Jens; Friesecke, Singrun; Jacob, David; Gummert, Jan; Faltlhauser, Andreas; Aucella, Filippo; van Tellingen, Martijn; Malbrain, Manu LN G; Bogdanski, Ralph; Weiss, Günter; Herbrich, Andreas; Utzolino, Stefan; Nierhaus, Axel; Baumann, Andreas; Hartjes, Andreas; Henzler, Dietrich; Grigoryev, Evgeny; Fritz, Harald; Bach, Friedhelm; Schröder, Stefan; Weyland, Andreas; Gottschaldt, Udo; Menzel, Matthias; Zachariae, Olivier; Novak, Radovan; Berden, Jernej; Haake, Hendrik; Quintel, Michael; Kloesel, Stephan; Kortgen, Andreas; Stecher, Stephanie; Torti, Patricia; Nestler, Frieder; Nitsch, Markus; Olboeter, Detlef; Muck, Philip; Findeisen, Michael; Bitzinger, Diane; Kraßler, Jens; Benad, Martin; Schott, Martin; Schumacher, Ulrike; Molnar, Zsolt; Brunkhorst, Frank Martin. Hemoadsorption in the critically ill-Final results of the International CytoSorb Registry. PloS One. 2022;17(10):e0274315–e0274315. </w:t>
      </w:r>
    </w:p>
    <w:p w14:paraId="7209C88B" w14:textId="77777777" w:rsidR="00A20273" w:rsidRDefault="00A20273" w:rsidP="00A20273">
      <w:pPr>
        <w:pStyle w:val="Bibliography"/>
      </w:pPr>
      <w:r>
        <w:t xml:space="preserve">8. </w:t>
      </w:r>
      <w:r>
        <w:tab/>
        <w:t xml:space="preserve">Neto ASH Sabrine NT; Barbas, Carmen Silvia Valente; Beiderlinden, Martin; Fernandez Bustamante, Ana; Futier, Emmanuel; Gajic, Ognjen; El Tahan, </w:t>
      </w:r>
      <w:r>
        <w:lastRenderedPageBreak/>
        <w:t xml:space="preserve">Mohamed R; Ghamdi, Abdulmohsin A Al; Günay, Ersin; Jaber, Samir; Kokulu, Serdar; Kozian, Alf; Licker, Marc; Lin, Wen Qian; Maslow, Andrew; Memtsoudis, Stavros G; Miranda, Dinis dos Reis; Moine, Pierre; Ng, Thomas; Paparella, Domenico; Ranieri, V Marco; Scavonetto, Federica; Schilling, Thomas F; Selmo, Gabriele; Severgnini, Paolo; Sprung, Juraj; Sundar, Sugantha; Talmor, Daniel; Treschan, Tanja A; Unzueta, Carmen; Weingarten, Toby N; Wolthuis, Esther K; Wrigge, Hermann; Amato, Marcelo BP; Costa, Eduardo LV; de Abreu, Marcelo Gama; Pelosi, Paolo; Schultz, Marcus J. Association between driving pressure and development of postoperative pulmonary complications in patients undergoing mechanical ventilation for general anaesthesia: a meta-analysis of individual patient data. Lancet Respir Med. 2016;4(4):272–80. </w:t>
      </w:r>
    </w:p>
    <w:p w14:paraId="7C5F5EB9" w14:textId="77777777" w:rsidR="00A20273" w:rsidRDefault="00A20273" w:rsidP="00A20273">
      <w:pPr>
        <w:pStyle w:val="Bibliography"/>
      </w:pPr>
      <w:r>
        <w:t xml:space="preserve">9. </w:t>
      </w:r>
      <w:r>
        <w:tab/>
        <w:t xml:space="preserve">Ventilation with Lower Tidal Volumes as Compared with Traditional Tidal Volumes for Acute Lung Injury and the Acute Respiratory Distress Syndrome. N Engl J Med. 2000 May 4;342(18):1301–8. </w:t>
      </w:r>
    </w:p>
    <w:p w14:paraId="71C1E480" w14:textId="77777777" w:rsidR="00A20273" w:rsidRDefault="00A20273" w:rsidP="00A20273">
      <w:pPr>
        <w:pStyle w:val="Bibliography"/>
      </w:pPr>
      <w:r>
        <w:t xml:space="preserve">10. </w:t>
      </w:r>
      <w:r>
        <w:tab/>
        <w:t xml:space="preserve">Odor PM, Bampoe S, Gilhooly D, Creagh-Brown B, Moonesinghe SR. Perioperative interventions for prevention of postoperative pulmonary complications: systematic review and meta-analysis. BMJ. 2020 Mar 11;m540. </w:t>
      </w:r>
    </w:p>
    <w:p w14:paraId="36680819" w14:textId="77777777" w:rsidR="00A20273" w:rsidRDefault="00A20273" w:rsidP="00A20273">
      <w:pPr>
        <w:pStyle w:val="Bibliography"/>
      </w:pPr>
      <w:r>
        <w:t xml:space="preserve">11. </w:t>
      </w:r>
      <w:r>
        <w:tab/>
        <w:t xml:space="preserve">Abbott TEF, Fowler AJ, Pelosi P, Gama de Abreu M, Møller AM, Canet J, et al. A systematic review and consensus definitions for standardised end-points in perioperative medicine: pulmonary complications. Br J Anaesth. 2018 May;120(5):1066–79. </w:t>
      </w:r>
    </w:p>
    <w:p w14:paraId="500B7BD3" w14:textId="77777777" w:rsidR="00A20273" w:rsidRDefault="00A20273" w:rsidP="00A20273">
      <w:pPr>
        <w:pStyle w:val="Bibliography"/>
      </w:pPr>
      <w:r>
        <w:t xml:space="preserve">12. </w:t>
      </w:r>
      <w:r>
        <w:tab/>
        <w:t xml:space="preserve">Young CC, Harris EM, Vacchiano C, Bodnar S, Bukowy B, Elliott RRD, et al. Lung-protective ventilation for the surgical patient: international expert panel-based consensus recommendations. Br J Anaesth. 2019 Dec;123(6):898–913. </w:t>
      </w:r>
    </w:p>
    <w:p w14:paraId="639A3833" w14:textId="77777777" w:rsidR="00A20273" w:rsidRDefault="00A20273" w:rsidP="00A20273">
      <w:pPr>
        <w:pStyle w:val="Bibliography"/>
      </w:pPr>
      <w:r>
        <w:t xml:space="preserve">13. </w:t>
      </w:r>
      <w:r>
        <w:tab/>
        <w:t xml:space="preserve">Ferrando CS Marina; Unzueta, Carmen; Suarez Sipmann, Fernando; Canet, Jaume; Librero, Julián; Pozo, Natividad; Peiró, Salvador; Llombart, Alicia; León, Irene; India, Inmaculada; Aldecoa, Cesar; Diaz Cambronero, Oscar; Pestaña, David; Redondo, Francisco J; Garutti, Ignacio; Balust, Jaume; García, Jose Ignacio; Ibáñez, Maite; Granell, M; Rodríguez, Aurelio; Gallego, Lucía; de la Matta, Manuel; González, Rafael; Brunelli, Andrea; García, Javier Contreras; Rovira, Lucas; Barrios, Francisco; Torres, Vicente; Hernández, Samuel; Gracia, Estefania; Giné, Marta; Garcia, Maria; Garcia, Nuria; Miguel, Lisset; Sánchez, Sergio; Piñeiro, Patricia; Pujol, Roger; García del Valle, Santiago; Valdivia, José; Hernández, María; Padrón, Oto; Colás, Ana; Puig, Jaume; Azparren, Gonzalo; Tusman, Gerardo; Villar, Jesús; Belda, Javier; Acosta, Jesús; Aguilar, Gerardo; Alberola, María José; Alcón, Amalia; Alonso, Jose M; Alonso, María Dolores; Anaya, Rafael; Argente, María Pilar; Agilaga, Marta; Arocas, Blanca; Asensio, Ana; Ayas, Begoña; Ayuso, Mercedes; Balandrón, Victor; Del Barrio, Maria; Bejarano, Natalia; Benítez, Inmaculada; Cabrera, Sergio; Carbonell, José A; Carramiñana, Albert; Carrizo, Juan; Cegarra, Virginia; Chamorro, Estefanía; Charco, Pedro; Cruz, Patricia; Daviu, Francisco; De Fez, Mario; de Miguel, Angeles; Del Río, Elena; Delgado, Carlos; Díaz, Ruben; Díaz, Susana; Díez, Fernando; Dosdá, Rosa; Duca, Alejandro; Etulain, Ma Justina; Fernández, Carmen; Franco, Tania; Fuentes, Isabel; Gallego, Clara; Gallego Casilda, Alberto; Galve, </w:t>
      </w:r>
      <w:r>
        <w:lastRenderedPageBreak/>
        <w:t xml:space="preserve">Ana Isabel; Garcés, Cristina; García, Mercedes; Garcia, Pablo; Garrigues, Beatriz; Gilabert, Vicente; González, Domingo; Gutierrez, Andrea; Hernández, Inmaculada; Izquierdo, Ana; Jurado, Ana; Katime, Antonio; Llamazares, Eduardo; Lardies, Rosa; Lisbona, Cristina; López Herrera, Daniel; López, Ramiro; Lozano, Angels; Lozano, Elena; Marcos, José M; Martín, Silvia; Martínez, Nilda; Martínez, Rocío; Martínez Pallí, Graciella; Mazzinari, Guido; Miñana, Amanda; Moral, Victoria; Moreno, Tania; Mugarra, Ana; Muñoz, Lorena; Navarro, José I; Olmedilla, Luis; Olmedo, Jonathan; Ojeda, Nazario; Parera, Ana; Parra, María Asunción; Parrilla, Cristina; Pastor, Ernesto; Peña, Natalia; Pérez, Ana María; Pérez, Jose María; Piqueras, Laura; Rico Feijoo, Jesús; Rodríguez, Rayco; Román, Javier Ignacio; Romero, Antonio; Romero, Carolina; Romero, Esther; Ruiz, Isabel; Sánchez, Ester; Sandín, Francisco; Serralta, Ferran; Socorro, Tania; Soriano, Laura; Tisner, Manuel; Valencia, Lucía; Valls, Paola; Vaquero, Laura; Varón, Viviana; Vila, María; Villazala, Rubén; Villena, Abigail; Zapatero, Sara. Individualised perioperative open-lung approach versus standard protective ventilation in abdominal surgery (iPROVE): a randomised controlled trial. Lancet Respir Med. 2018;6(3):193–203. </w:t>
      </w:r>
    </w:p>
    <w:p w14:paraId="2E6AE19B" w14:textId="77777777" w:rsidR="00A20273" w:rsidRDefault="00A20273" w:rsidP="00A20273">
      <w:pPr>
        <w:pStyle w:val="Bibliography"/>
      </w:pPr>
      <w:r>
        <w:t xml:space="preserve">14. </w:t>
      </w:r>
      <w:r>
        <w:tab/>
        <w:t xml:space="preserve">Nestler C; S P; Petroff, David; Hammermüller, Sören; Kamrath, D; Wolf, Samuel J; Dietrich, Arne; Camilo, Luciana Moisés; Beda, Alessandro; Carvalho, Alysson R; Giannella Neto, Antonio; Reske, Andreas W; Wrigge, Hermann. Individualized positive end-expiratory pressure in obese patients during general anaesthesia: a randomized controlled clinical trial using electrical impedance tomography. Br J Anaesth. 2017;119(6):1194–205. </w:t>
      </w:r>
    </w:p>
    <w:p w14:paraId="555DD26C" w14:textId="77777777" w:rsidR="00A20273" w:rsidRDefault="00A20273" w:rsidP="00A20273">
      <w:pPr>
        <w:pStyle w:val="Bibliography"/>
      </w:pPr>
      <w:r>
        <w:t xml:space="preserve">15. </w:t>
      </w:r>
      <w:r>
        <w:tab/>
        <w:t xml:space="preserve">Yoon HKK Bo Rim; Yoon, Susie; Jeong, Young Hyun; Ku, Ja Hyeon; Kim, Won Ho. The Effect of Ventilation with Individualized Positive End-Expiratory Pressure on Postoperative Atelectasis in Patients Undergoing Robot-Assisted Radical Prostatectomy: A Randomized Controlled Trial. J Clin Med. 2021;10(4):850-NA. </w:t>
      </w:r>
    </w:p>
    <w:p w14:paraId="0B5E4E48" w14:textId="77777777" w:rsidR="00A20273" w:rsidRDefault="00A20273" w:rsidP="00A20273">
      <w:pPr>
        <w:pStyle w:val="Bibliography"/>
      </w:pPr>
      <w:r>
        <w:t xml:space="preserve">16. </w:t>
      </w:r>
      <w:r>
        <w:tab/>
        <w:t xml:space="preserve">Zorrilla-Vaca AG Michael C; Urman, Richard D; Frendl, Gyorgy. Individualised positive end-expiratory pressure in abdominal surgery: a systematic review and meta-analysis. Br J Anaesth. 2022;129(5):815–25. </w:t>
      </w:r>
    </w:p>
    <w:p w14:paraId="3BEDD9DA" w14:textId="77777777" w:rsidR="00A20273" w:rsidRDefault="00A20273" w:rsidP="00A20273">
      <w:pPr>
        <w:pStyle w:val="Bibliography"/>
      </w:pPr>
      <w:r>
        <w:t xml:space="preserve">17. </w:t>
      </w:r>
      <w:r>
        <w:tab/>
        <w:t xml:space="preserve">Girrbach FP David; Schulz, Susann; Hempel, Gunther; Lange, Mirko; Klotz, Carolin; Scherz, Stephanie; Giannella Neto, Antonio; Beda, Alessandro; Jardim Neto, Alcendino; Stolzenburg, Jens Uwe; Reske, Andreas W; Wrigge, Hermann; Simon, Philipp. Individualised positive end-expiratory pressure guided by electrical impedance tomography for robot-assisted laparoscopic radical prostatectomy: a prospective, randomised controlled clinical trial. Br J Anaesth. 2020;125(3):373–82. </w:t>
      </w:r>
    </w:p>
    <w:p w14:paraId="2ECB54CA" w14:textId="77777777" w:rsidR="00A20273" w:rsidRDefault="00A20273" w:rsidP="00A20273">
      <w:pPr>
        <w:pStyle w:val="Bibliography"/>
      </w:pPr>
      <w:r>
        <w:t xml:space="preserve">18. </w:t>
      </w:r>
      <w:r>
        <w:tab/>
        <w:t xml:space="preserve">Ashbaugh DavidG, Boyd Bigelow D, Petty ThomasL, Levine BernardE. ACUTE RESPIRATORY DISTRESS IN ADULTS. The Lancet. 1967 Aug;290(7511):319–23. </w:t>
      </w:r>
    </w:p>
    <w:p w14:paraId="4980A5FE" w14:textId="77777777" w:rsidR="00A20273" w:rsidRDefault="00A20273" w:rsidP="00A20273">
      <w:pPr>
        <w:pStyle w:val="Bibliography"/>
      </w:pPr>
      <w:r>
        <w:t xml:space="preserve">19. </w:t>
      </w:r>
      <w:r>
        <w:tab/>
        <w:t xml:space="preserve">Tan R, Ge C, Li Z, Yan Y, Guo H, Song W, et al. Early Prediction of Mortality Risk in Acute Respiratory Distress Syndrome: Systematic Review and Meta-Analysis. J Med Internet Res. 2025 May 20;27:e70537. </w:t>
      </w:r>
    </w:p>
    <w:p w14:paraId="676CEE97" w14:textId="77777777" w:rsidR="00A20273" w:rsidRDefault="00A20273" w:rsidP="00A20273">
      <w:pPr>
        <w:pStyle w:val="Bibliography"/>
      </w:pPr>
      <w:r>
        <w:lastRenderedPageBreak/>
        <w:t xml:space="preserve">20. </w:t>
      </w:r>
      <w:r>
        <w:tab/>
        <w:t xml:space="preserve">Griffiths MJD, McAuley DF, Perkins GD, Barrett N, Blackwood B, Boyle A, et al. Guidelines on the management of acute respiratory distress syndrome. BMJ Open Respir Res. 2019 May;6(1):e000420. </w:t>
      </w:r>
    </w:p>
    <w:p w14:paraId="590A1795" w14:textId="77777777" w:rsidR="00A20273" w:rsidRDefault="00A20273" w:rsidP="00A20273">
      <w:pPr>
        <w:pStyle w:val="Bibliography"/>
      </w:pPr>
      <w:r>
        <w:t xml:space="preserve">21. </w:t>
      </w:r>
      <w:r>
        <w:tab/>
        <w:t xml:space="preserve">Guo L, Xie J, Huang Y, Pan C, Yang Y, Qiu H, et al. Higher PEEP improves outcomes in ARDS patients with clinically objective positive oxygenation response to PEEP: a systematic review and meta-analysis. BMC Anesthesiol. 2018 Dec;18(1):172. </w:t>
      </w:r>
    </w:p>
    <w:p w14:paraId="73378B37" w14:textId="77777777" w:rsidR="00A20273" w:rsidRDefault="00A20273" w:rsidP="00A20273">
      <w:pPr>
        <w:pStyle w:val="Bibliography"/>
      </w:pPr>
      <w:r>
        <w:t xml:space="preserve">22. </w:t>
      </w:r>
      <w:r>
        <w:tab/>
        <w:t xml:space="preserve">Koulouras V, Papathanakos G, Papathanasiou A, Nakos G. Efficacy of prone position in acute respiratory distress syndrome patients: A pathophysiology-based review. World J Crit Care Med. 2016;5(2):121. </w:t>
      </w:r>
    </w:p>
    <w:p w14:paraId="34E49FE3" w14:textId="77777777" w:rsidR="00A20273" w:rsidRDefault="00A20273" w:rsidP="00A20273">
      <w:pPr>
        <w:pStyle w:val="Bibliography"/>
      </w:pPr>
      <w:r>
        <w:t xml:space="preserve">23. </w:t>
      </w:r>
      <w:r>
        <w:tab/>
        <w:t xml:space="preserve">Bos LDJ, Ware LB. Acute respiratory distress syndrome: causes, pathophysiology, and phenotypes. The Lancet. 2022 Oct;400(10358):1145–56. </w:t>
      </w:r>
    </w:p>
    <w:p w14:paraId="41D69850" w14:textId="77777777" w:rsidR="00A20273" w:rsidRDefault="00A20273" w:rsidP="00A20273">
      <w:pPr>
        <w:pStyle w:val="Bibliography"/>
      </w:pPr>
      <w:r>
        <w:t xml:space="preserve">24. </w:t>
      </w:r>
      <w:r>
        <w:tab/>
        <w:t xml:space="preserve">Supady AW Enya; Rieder, Marina; Lother, Achim; Niklaus, Tim; Zahn, Timm; Frech, Franziska; Müller, Sissi; Kuhl, Moritz; Benk, Christoph; Maier, Sven; Trummer, Georg; Flügler, Annabelle; Krüger, Kirsten; Sekandarzad, Asieb; Stachon, Peter; Zotzmann, Viviane; Bode, Christoph; Biever, Paul; Staudacher, Dawid L; Wengenmayer, Tobias; Graf, Erika; Duerschmied, Daniel. Cytokine adsorption in patients with severe COVID-19 pneumonia requiring extracorporeal membrane oxygenation (CYCOV): a single centre, open-label, randomised, controlled trial. Lancet Respir Med. 2021;9(7):755–62. </w:t>
      </w:r>
    </w:p>
    <w:p w14:paraId="609E0E86" w14:textId="77777777" w:rsidR="00A20273" w:rsidRDefault="00A20273" w:rsidP="00A20273">
      <w:pPr>
        <w:pStyle w:val="Bibliography"/>
      </w:pPr>
      <w:r>
        <w:t xml:space="preserve">25. </w:t>
      </w:r>
      <w:r>
        <w:tab/>
        <w:t xml:space="preserve">Brouwer WP, Duran S, Kuijper M, Ince C. Hemoadsorption with CytoSorb shows a decreased observed versus expected 28-day all-cause mortality in ICU patients with septic shock: a propensity-score-weighted retrospective study. Crit Care. 2019 Dec;23(1):317. </w:t>
      </w:r>
    </w:p>
    <w:p w14:paraId="2AA0263D" w14:textId="77777777" w:rsidR="00A20273" w:rsidRDefault="00A20273" w:rsidP="00A20273">
      <w:pPr>
        <w:pStyle w:val="Bibliography"/>
      </w:pPr>
      <w:r>
        <w:t xml:space="preserve">26. </w:t>
      </w:r>
      <w:r>
        <w:tab/>
        <w:t xml:space="preserve">Greil C, Roether F, La Rosée P, Grimbacher B, Duerschmied D, Warnatz K. Rescue of Cytokine Storm Due to HLH by Hemoadsorption in a CTLA4-Deficient Patient. J Clin Immunol. 2017 Apr;37(3):273–6. </w:t>
      </w:r>
    </w:p>
    <w:p w14:paraId="5CE7B9CA" w14:textId="77777777" w:rsidR="00A20273" w:rsidRDefault="00A20273" w:rsidP="00A20273">
      <w:pPr>
        <w:pStyle w:val="Bibliography"/>
      </w:pPr>
      <w:r>
        <w:t xml:space="preserve">27. </w:t>
      </w:r>
      <w:r>
        <w:tab/>
        <w:t xml:space="preserve">Hawchar FL Ildikó; Öveges, N; Trásy, Domonkos; Ondrik, Zoltán; Molnár, Zsolt. Extracorporeal cytokine adsorption in septic shock: A proof of concept randomized, controlled pilot study. J Crit Care. 2018;49(NA):172–8. </w:t>
      </w:r>
    </w:p>
    <w:p w14:paraId="40CF6D19" w14:textId="77777777" w:rsidR="00A20273" w:rsidRDefault="00A20273" w:rsidP="00A20273">
      <w:pPr>
        <w:pStyle w:val="Bibliography"/>
      </w:pPr>
      <w:r>
        <w:t xml:space="preserve">28. </w:t>
      </w:r>
      <w:r>
        <w:tab/>
        <w:t xml:space="preserve">Page MJ; M Joanne E; Bossuyt, Patrick MM; Boutron, Isabelle; Hoffmann, Tammy; Mulrow, Cynthia D; Shamseer, Larissa; Tetzlaff, Jennifer; Akl, Elie A; Brennan, Sue E; Chou, Roger; Glanville, Julie; Grimshaw, Jeremy M; Hróbjartsson, Asbjørn; Lalu, Manoj M; Li, Tianjing; Loder, Elizabeth; Mayo Wilson, Evan; McDonald, Steve; McGuinness, Luke A; Stewart, Lesley A; Thomas, James; Tricco, Andrea C; Welch, Vivian; Whiting, Penny; Moher, David. The PRISMA 2020 statement: an updated guideline for reporting systematic reviews. BMJ. 2021;372(NA):n71-NA. </w:t>
      </w:r>
    </w:p>
    <w:p w14:paraId="70993571" w14:textId="77777777" w:rsidR="00A20273" w:rsidRDefault="00A20273" w:rsidP="00A20273">
      <w:pPr>
        <w:pStyle w:val="Bibliography"/>
      </w:pPr>
      <w:r>
        <w:lastRenderedPageBreak/>
        <w:t xml:space="preserve">29. </w:t>
      </w:r>
      <w:r>
        <w:tab/>
        <w:t>Higgins JPT, Thomas J, Chandler J, Cumpston M, Li T, Page MJ, et al. Cochrane handbook for systematic reviews of interventions [Internet]. 2020 [cited 2022 July 4]. Available from: https://doi.org/10.1002/9781119536604</w:t>
      </w:r>
    </w:p>
    <w:p w14:paraId="40A41654" w14:textId="77777777" w:rsidR="00A20273" w:rsidRDefault="00A20273" w:rsidP="00A20273">
      <w:pPr>
        <w:pStyle w:val="Bibliography"/>
      </w:pPr>
      <w:r>
        <w:t xml:space="preserve">30. </w:t>
      </w:r>
      <w:r>
        <w:tab/>
        <w:t xml:space="preserve">Cooper HM, Hedges LV, Valentine JC, editors. The handbook of research synthesis and meta-analysis. 2. ed. New York: Russell Sage Foundation; 2009. 615 p. </w:t>
      </w:r>
    </w:p>
    <w:p w14:paraId="71F96C1B" w14:textId="77777777" w:rsidR="00A20273" w:rsidRDefault="00A20273" w:rsidP="00A20273">
      <w:pPr>
        <w:pStyle w:val="Bibliography"/>
      </w:pPr>
      <w:r>
        <w:t xml:space="preserve">31. </w:t>
      </w:r>
      <w:r>
        <w:tab/>
        <w:t xml:space="preserve">J. Sweeting M, J. Sutton A, C. Lambert P. What to add to nothing? Use and avoidance of continuity corrections in meta-analysis of sparse data. Stat Med. 2004 May 15;23(9):1351–75. </w:t>
      </w:r>
    </w:p>
    <w:p w14:paraId="08B52E9D" w14:textId="77777777" w:rsidR="00A20273" w:rsidRDefault="00A20273" w:rsidP="00A20273">
      <w:pPr>
        <w:pStyle w:val="Bibliography"/>
      </w:pPr>
      <w:r>
        <w:t xml:space="preserve">32. </w:t>
      </w:r>
      <w:r>
        <w:tab/>
        <w:t xml:space="preserve">IntHout JI John PA; Borm, George F. The Hartung-Knapp-Sidik-Jonkman method for random effects meta-analysis is straightforward and considerably outperforms the standard DerSimonian-Laird method. BMC Med Res Methodol. 2014;14(1):25–25. </w:t>
      </w:r>
    </w:p>
    <w:p w14:paraId="29C9F89B" w14:textId="77777777" w:rsidR="00A20273" w:rsidRDefault="00A20273" w:rsidP="00A20273">
      <w:pPr>
        <w:pStyle w:val="Bibliography"/>
      </w:pPr>
      <w:r>
        <w:t xml:space="preserve">33. </w:t>
      </w:r>
      <w:r>
        <w:tab/>
        <w:t xml:space="preserve">Knapp GH Joachim. Improved tests for a random effects meta-regression with a single covariate. Stat Med. 2003;22(17):2693–710. </w:t>
      </w:r>
    </w:p>
    <w:p w14:paraId="4453154B" w14:textId="77777777" w:rsidR="00A20273" w:rsidRDefault="00A20273" w:rsidP="00A20273">
      <w:pPr>
        <w:pStyle w:val="Bibliography"/>
      </w:pPr>
      <w:r>
        <w:t xml:space="preserve">34. </w:t>
      </w:r>
      <w:r>
        <w:tab/>
        <w:t>R Core Team. R: A language and environment for statistical computing. [Internet]. Vienna, Austria: R Foundation for Statistical Computing; 2021. Available from: https://www.R-project.org/</w:t>
      </w:r>
    </w:p>
    <w:p w14:paraId="4264C6EC" w14:textId="77777777" w:rsidR="00A20273" w:rsidRDefault="00A20273" w:rsidP="00A20273">
      <w:pPr>
        <w:pStyle w:val="Bibliography"/>
      </w:pPr>
      <w:r>
        <w:t xml:space="preserve">35. </w:t>
      </w:r>
      <w:r>
        <w:tab/>
        <w:t xml:space="preserve">Balduzzi SR Gerta; Schwarzer, Guido. How to perform a meta-analysis with R: a practical tutorial. Evid Based Ment Health. 2019;22(4):153–60. </w:t>
      </w:r>
    </w:p>
    <w:p w14:paraId="2F301C0F" w14:textId="77777777" w:rsidR="00A20273" w:rsidRDefault="00A20273" w:rsidP="00A20273">
      <w:pPr>
        <w:pStyle w:val="Bibliography"/>
      </w:pPr>
      <w:r>
        <w:t xml:space="preserve">36. </w:t>
      </w:r>
      <w:r>
        <w:tab/>
        <w:t>Harrer M, Pim Cuijpers, Toshi Furukawa, David Daniel Ebert. dmetar: Companion R Package For The Guide “Doing Meta-Analysis in R”. R package version 0.0.9000 [Internet]. 2019. Available from: http://dmetar.protectlab.org/</w:t>
      </w:r>
    </w:p>
    <w:p w14:paraId="63B13A7F" w14:textId="77777777" w:rsidR="00A20273" w:rsidRDefault="00A20273" w:rsidP="00A20273">
      <w:pPr>
        <w:pStyle w:val="Bibliography"/>
      </w:pPr>
      <w:r>
        <w:t xml:space="preserve">37. </w:t>
      </w:r>
      <w:r>
        <w:tab/>
        <w:t>GRADEpro GDT: GRADEpro Guideline Development Tool [Internet]. 2022. Available from: gradepro.org</w:t>
      </w:r>
    </w:p>
    <w:p w14:paraId="211E0C2E" w14:textId="77777777" w:rsidR="00A20273" w:rsidRDefault="00A20273" w:rsidP="00A20273">
      <w:pPr>
        <w:pStyle w:val="Bibliography"/>
      </w:pPr>
      <w:r>
        <w:t xml:space="preserve">38. </w:t>
      </w:r>
      <w:r>
        <w:tab/>
        <w:t xml:space="preserve">Harrer M. Doing meta-analysis with R: a hands-on guide. First edition. Boca Raton: CRC Press; 2022. 1 p. </w:t>
      </w:r>
    </w:p>
    <w:p w14:paraId="18C605B9" w14:textId="77777777" w:rsidR="00A20273" w:rsidRDefault="00A20273" w:rsidP="00A20273">
      <w:pPr>
        <w:pStyle w:val="Bibliography"/>
      </w:pPr>
      <w:r>
        <w:t xml:space="preserve">39. </w:t>
      </w:r>
      <w:r>
        <w:tab/>
        <w:t xml:space="preserve">Luo DW Xiang; Liu, Jiming; Tong, Tiejun. Optimally estimating the sample mean from the sample size, median, mid-range, and/or mid-quartile range. Stat Methods Med Res. 2016;27(6):1785–805. </w:t>
      </w:r>
    </w:p>
    <w:p w14:paraId="7FD648D8" w14:textId="77777777" w:rsidR="00A20273" w:rsidRDefault="00A20273" w:rsidP="00A20273">
      <w:pPr>
        <w:pStyle w:val="Bibliography"/>
      </w:pPr>
      <w:r>
        <w:t xml:space="preserve">40. </w:t>
      </w:r>
      <w:r>
        <w:tab/>
        <w:t xml:space="preserve">Wan X, Wang W, Liu J, Tong T. Estimating the sample mean and standard deviation from the sample size, median, range and/or interquartile range. BMC Med Res Methodol. 2014 Dec;14(1):135. </w:t>
      </w:r>
    </w:p>
    <w:p w14:paraId="5AB580FA" w14:textId="77777777" w:rsidR="00A20273" w:rsidRDefault="00A20273" w:rsidP="00A20273">
      <w:pPr>
        <w:pStyle w:val="Bibliography"/>
      </w:pPr>
      <w:r>
        <w:t xml:space="preserve">41. </w:t>
      </w:r>
      <w:r>
        <w:tab/>
        <w:t>Munn Z, Barker TH, Moola S, Tufanaru C, Stern C, McArthur A, et al. Methodological quality of case series studies: an introduction to the JBI critical appraisal tool. JBI Database Syst Rev Implement Rep [Internet]. 2019 Sept 23 [cited 2025 June 7];Publish Ahead of Print. Available from: https://journals.lww.com/10.11124/JBISRIR-D-19-00099</w:t>
      </w:r>
    </w:p>
    <w:p w14:paraId="0021D010" w14:textId="77777777" w:rsidR="00A20273" w:rsidRDefault="00A20273" w:rsidP="00A20273">
      <w:pPr>
        <w:pStyle w:val="Bibliography"/>
      </w:pPr>
      <w:r>
        <w:lastRenderedPageBreak/>
        <w:t xml:space="preserve">42. </w:t>
      </w:r>
      <w:r>
        <w:tab/>
        <w:t xml:space="preserve">Gagnier JJ, Kienle G, Altman DG, Moher D, Sox H, Riley D, et al. The CARE Guidelines: Consensus‐Based Clinical Case Reporting Guideline Development. Headache J Head Face Pain. 2013 Nov;53(10):1541–7. </w:t>
      </w:r>
    </w:p>
    <w:p w14:paraId="2C37B61A" w14:textId="77777777" w:rsidR="00A20273" w:rsidRDefault="00A20273" w:rsidP="00A20273">
      <w:pPr>
        <w:pStyle w:val="Bibliography"/>
      </w:pPr>
      <w:r>
        <w:t xml:space="preserve">43. </w:t>
      </w:r>
      <w:r>
        <w:tab/>
        <w:t xml:space="preserve">Sterne JA, Hernán MA, Reeves BC, Savović J, Berkman ND, Viswanathan M, et al. ROBINS-I: a tool for assessing risk of bias in non-randomised studies of interventions. BMJ. 2016 Oct 12;i4919. </w:t>
      </w:r>
    </w:p>
    <w:p w14:paraId="7051D770" w14:textId="77777777" w:rsidR="00A20273" w:rsidRDefault="00A20273" w:rsidP="00A20273">
      <w:pPr>
        <w:pStyle w:val="Bibliography"/>
      </w:pPr>
      <w:r>
        <w:t xml:space="preserve">44. </w:t>
      </w:r>
      <w:r>
        <w:tab/>
        <w:t xml:space="preserve">Sterne JA, Hernán MA, Reeves BC, Savović J, Berkman ND, Viswanathan M, et al. ROBINS-I: a tool for assessing risk of bias in non-randomised studies of interventions. BMJ. 2016 Oct 12;i4919. </w:t>
      </w:r>
    </w:p>
    <w:p w14:paraId="0EC2E3AB" w14:textId="77777777" w:rsidR="00A20273" w:rsidRDefault="00A20273" w:rsidP="00A20273">
      <w:pPr>
        <w:pStyle w:val="Bibliography"/>
      </w:pPr>
      <w:r>
        <w:t xml:space="preserve">45. </w:t>
      </w:r>
      <w:r>
        <w:tab/>
        <w:t xml:space="preserve">Xu QG Xiao; Liu, Jiang; Li, Si Xun; Ma, Hai Rui; Wang, Fei Xiang; Lin, Jing Yan. Effects of dynamic individualized PEEP guided by driving pressure in laparoscopic surgery on postoperative atelectasis in elderly patients: a prospective randomized controlled trial. BMC Anesthesiol. 2022;22(1):72-NA. </w:t>
      </w:r>
    </w:p>
    <w:p w14:paraId="65A4D3E3" w14:textId="77777777" w:rsidR="00A20273" w:rsidRDefault="00A20273" w:rsidP="00A20273">
      <w:pPr>
        <w:pStyle w:val="Bibliography"/>
      </w:pPr>
      <w:r>
        <w:t xml:space="preserve">46. </w:t>
      </w:r>
      <w:r>
        <w:tab/>
        <w:t xml:space="preserve">Fernandez-Bustamante AS Juraj; Parker, Robert A; Bartels, Karsten; Weingarten, Toby N; Kosour, Carolina; Thompson, B Taylor; Melo, Marcos F Vidal. Individualized PEEP to optimise respiratory mechanics during abdominal surgery: a pilot randomised controlled trial. Br J Anaesth. 2020;125(3):383–92. </w:t>
      </w:r>
    </w:p>
    <w:p w14:paraId="7F619137" w14:textId="77777777" w:rsidR="00A20273" w:rsidRDefault="00A20273" w:rsidP="00A20273">
      <w:pPr>
        <w:pStyle w:val="Bibliography"/>
      </w:pPr>
      <w:r>
        <w:t xml:space="preserve">47. </w:t>
      </w:r>
      <w:r>
        <w:tab/>
        <w:t>Deeparaj L, Kumar R, Patel N, Ayub A, Rewari V, Subramaniam R, et al. Effect of Lung Compliance-Based Optimum Pressure Versus Fixed Positive End-Expiratory Pressure on Lung Atelectasis Assessed by Modified Lung Ultrasound Score in Laparoscopic Gynecological Surgery: A Prospective Randomized Controlled Trial. Cureus [Internet]. 2023 June 12 [cited 2025 Apr 28]; Available from: https://www.cureus.com/articles/136396-effect-of-lung-compliance-based-optimum-pressure-versus-fixed-positive-end-expiratory-pressure-on-lung-atelectasis-assessed-by-modified-lung-ultrasound-score-in-laparoscopic-gynecological-surgery-a-prospective-randomized-controlled-trial</w:t>
      </w:r>
    </w:p>
    <w:p w14:paraId="5D0CDE72" w14:textId="77777777" w:rsidR="00A20273" w:rsidRDefault="00A20273" w:rsidP="00A20273">
      <w:pPr>
        <w:pStyle w:val="Bibliography"/>
      </w:pPr>
      <w:r>
        <w:t xml:space="preserve">48. </w:t>
      </w:r>
      <w:r>
        <w:tab/>
        <w:t xml:space="preserve">Eichler LT Katarzyna; Duprée, Anna; Busch, Philipp; Goetz, Alwin E; Zöllner, Christian. Intraoperative Ventilation of Morbidly Obese Patients Guided by Transpulmonary Pressure. Obes Surg. 2017;28(1):122–9. </w:t>
      </w:r>
    </w:p>
    <w:p w14:paraId="51BE91CE" w14:textId="77777777" w:rsidR="00A20273" w:rsidRDefault="00A20273" w:rsidP="00A20273">
      <w:pPr>
        <w:pStyle w:val="Bibliography"/>
      </w:pPr>
      <w:r>
        <w:t xml:space="preserve">49. </w:t>
      </w:r>
      <w:r>
        <w:tab/>
        <w:t xml:space="preserve">Elshazly MO; K Tamer Mohamed; Bassem, Marina; Mansour, MA. The use of intraoperative bedside lung ultrasound in optimizing positive end expiratory pressure in obese patients undergoing laparoscopic bariatric surgeries. Surg Obes Relat Dis Off J Am Soc Bariatr Surg. 2020;17(2):372–8. </w:t>
      </w:r>
    </w:p>
    <w:p w14:paraId="16EC763D" w14:textId="77777777" w:rsidR="00A20273" w:rsidRDefault="00A20273" w:rsidP="00A20273">
      <w:pPr>
        <w:pStyle w:val="Bibliography"/>
      </w:pPr>
      <w:r>
        <w:t xml:space="preserve">50. </w:t>
      </w:r>
      <w:r>
        <w:tab/>
        <w:t xml:space="preserve">Ferrando CSS Fernando; Tusman, Gerardo; León, Irene; Romero, Esther; Gracia, Estefania; Mugarra, Ana; Arocas, Blanca; Pozo, Natividad; Soro, Marina; Belda, Francisco Javier. Open lung approach versus standard protective strategies : Effects on driving pressure and ventilatory efficiency during anesthesia - A pilot, randomized controlled trial. PloS One. 2017;12(5):e0177399-NA. </w:t>
      </w:r>
    </w:p>
    <w:p w14:paraId="0880B2F1" w14:textId="77777777" w:rsidR="00A20273" w:rsidRDefault="00A20273" w:rsidP="00A20273">
      <w:pPr>
        <w:pStyle w:val="Bibliography"/>
      </w:pPr>
      <w:r>
        <w:lastRenderedPageBreak/>
        <w:t xml:space="preserve">51. </w:t>
      </w:r>
      <w:r>
        <w:tab/>
        <w:t xml:space="preserve">Gao L, Yang L, Pan L, Cui Y, Zhang J. Optimal positive end-expiratory pressure obtained with titration of a fraction of inspiratory oxygen: a randomized controlled clinical trial. Ann Transl Med. 2023;11(5):203. </w:t>
      </w:r>
    </w:p>
    <w:p w14:paraId="4C5D848B" w14:textId="77777777" w:rsidR="00A20273" w:rsidRDefault="00A20273" w:rsidP="00A20273">
      <w:pPr>
        <w:pStyle w:val="Bibliography"/>
      </w:pPr>
      <w:r>
        <w:t xml:space="preserve">52. </w:t>
      </w:r>
      <w:r>
        <w:tab/>
        <w:t xml:space="preserve">Kim YJ, Kim BR, Kim HW, Jung JY, Cho HY, Seo JH, et al. Effect of driving pressure-guided positive end-expiratory pressure on postoperative pulmonary complications in patients undergoing laparoscopic or robotic surgery: a randomised controlled trial. Br J Anaesth. 2023 Nov;131(5):955–65. </w:t>
      </w:r>
    </w:p>
    <w:p w14:paraId="3AB29CCB" w14:textId="77777777" w:rsidR="00A20273" w:rsidRDefault="00A20273" w:rsidP="00A20273">
      <w:pPr>
        <w:pStyle w:val="Bibliography"/>
      </w:pPr>
      <w:r>
        <w:t xml:space="preserve">53. </w:t>
      </w:r>
      <w:r>
        <w:tab/>
        <w:t xml:space="preserve">Li J, Ma S, Chang X, Ju S, Zhang M, Yu D, et al. Effect of pressure-controlled ventilation-volume guaranteed mode combined with individualized positive end-expiratory pressure on respiratory mechanics, oxygenation and lung injury in patients undergoing laparoscopic surgery in Trendelenburg position. J Clin Monit Comput. 2022 Aug;36(4):1155–64. </w:t>
      </w:r>
    </w:p>
    <w:p w14:paraId="7135D87B" w14:textId="77777777" w:rsidR="00A20273" w:rsidRDefault="00A20273" w:rsidP="00A20273">
      <w:pPr>
        <w:pStyle w:val="Bibliography"/>
      </w:pPr>
      <w:r>
        <w:t xml:space="preserve">54. </w:t>
      </w:r>
      <w:r>
        <w:tab/>
        <w:t xml:space="preserve">Li X, Liu H, Wang J, Ni Z, Liu Z, Jiao J, et al. Individualized Positive End-expiratory Pressure on Postoperative Atelectasis in Patients with Obesity: a Randomized Controlled Clinical Trial. Anesthesiology. 2023;139(3):262‐273. </w:t>
      </w:r>
    </w:p>
    <w:p w14:paraId="39BEE47D" w14:textId="77777777" w:rsidR="00A20273" w:rsidRDefault="00A20273" w:rsidP="00A20273">
      <w:pPr>
        <w:pStyle w:val="Bibliography"/>
      </w:pPr>
      <w:r>
        <w:t xml:space="preserve">55. </w:t>
      </w:r>
      <w:r>
        <w:tab/>
        <w:t xml:space="preserve">Liu J, Huang X, Hu S, Meng Z, He H. Individualized lung protective ventilation vs. Conventional ventilation during general anesthesia in laparoscopic total hysterectomy. Exp Ther Med. 2020;19(4):3051‐3059. </w:t>
      </w:r>
    </w:p>
    <w:p w14:paraId="6B506859" w14:textId="77777777" w:rsidR="00A20273" w:rsidRDefault="00A20273" w:rsidP="00A20273">
      <w:pPr>
        <w:pStyle w:val="Bibliography"/>
      </w:pPr>
      <w:r>
        <w:t xml:space="preserve">56. </w:t>
      </w:r>
      <w:r>
        <w:tab/>
        <w:t xml:space="preserve">Luo L feng, Lin Y mei, Liu Y, Gao X hua, Li C yu, Zhang X qi, et al. Effect of individualized PEEP titration by ultrasonography on perioperative pulmonary protection and postoperative cognitive function in patients with chronic obstructive pulmonary disease. BMC Pulm Med. 2023 June 28;23(1):232. </w:t>
      </w:r>
    </w:p>
    <w:p w14:paraId="06C00F7A" w14:textId="77777777" w:rsidR="00A20273" w:rsidRDefault="00A20273" w:rsidP="00A20273">
      <w:pPr>
        <w:pStyle w:val="Bibliography"/>
      </w:pPr>
      <w:r>
        <w:t xml:space="preserve">57. </w:t>
      </w:r>
      <w:r>
        <w:tab/>
        <w:t xml:space="preserve">Mini G, Ray BR, Anand RK, Muthiah T, Baidya DK, Rewari V, et al. Effect of driving pressure-guided positive end-expiratory pressure (PEEP) titration on postoperative lung atelectasis in adult patients undergoing elective major abdominal surgery: A randomized controlled trial. Surgery. 2021 July;170(1):277–83. </w:t>
      </w:r>
    </w:p>
    <w:p w14:paraId="111E7997" w14:textId="77777777" w:rsidR="00A20273" w:rsidRDefault="00A20273" w:rsidP="00A20273">
      <w:pPr>
        <w:pStyle w:val="Bibliography"/>
      </w:pPr>
      <w:r>
        <w:t xml:space="preserve">58. </w:t>
      </w:r>
      <w:r>
        <w:tab/>
        <w:t xml:space="preserve">Pan L, Gao L, Yang L, Pan C, Yin Y, Zhu Y, et al. Effect of EIT-guided individualized PEEP setting on the incidence of hypoxemia in elderly patients undergoing robot-assisted radical prostatectomy. Zhonghua Yi Xue Za Zhi. 2022;102(47):3727‐3733. </w:t>
      </w:r>
    </w:p>
    <w:p w14:paraId="592B4728" w14:textId="77777777" w:rsidR="00A20273" w:rsidRDefault="00A20273" w:rsidP="00A20273">
      <w:pPr>
        <w:pStyle w:val="Bibliography"/>
      </w:pPr>
      <w:r>
        <w:t xml:space="preserve">59. </w:t>
      </w:r>
      <w:r>
        <w:tab/>
        <w:t xml:space="preserve">Piriyapatsom AP Sanchai. Effects of intra-operative positive end-expiratory pressure setting guided by oesophageal pressure measurement on oxygenation and respiratory mechanics during laparoscopic gynaecological surgery: A randomised controlled trial. Eur J Anaesthesiol. 2020;37(11):1032–9. </w:t>
      </w:r>
    </w:p>
    <w:p w14:paraId="6C55B74C" w14:textId="77777777" w:rsidR="00A20273" w:rsidRDefault="00A20273" w:rsidP="00A20273">
      <w:pPr>
        <w:pStyle w:val="Bibliography"/>
      </w:pPr>
      <w:r>
        <w:t xml:space="preserve">60. </w:t>
      </w:r>
      <w:r>
        <w:tab/>
        <w:t xml:space="preserve">Mohammad Salama ME, El-Taher EM, Abdel-Rahman Al-Touny AH, Ismail RA, Abdel-Ghaffar MEE. Effect of individualized intraoperative lung recruitment maneuver on postoperative pulmonary complications in patients undergoing upper abdominal surgeries under general anesthesia. Egypt J Anaesth. 2023 Dec 31;39(1):496–501. </w:t>
      </w:r>
    </w:p>
    <w:p w14:paraId="2F65E2C9" w14:textId="77777777" w:rsidR="00A20273" w:rsidRDefault="00A20273" w:rsidP="00A20273">
      <w:pPr>
        <w:pStyle w:val="Bibliography"/>
      </w:pPr>
      <w:r>
        <w:lastRenderedPageBreak/>
        <w:t xml:space="preserve">61. </w:t>
      </w:r>
      <w:r>
        <w:tab/>
        <w:t xml:space="preserve">Van Hecke D, Bidgoli JS, Van der Linden P. Does Lung Compliance Optimization Through PEEP Manipulations Reduce the Incidence of Postoperative Hypoxemia in Laparoscopic Bariatric Surgery? A Randomized Trial. Obes Surg. 2019 Apr;29(4):1268–75. </w:t>
      </w:r>
    </w:p>
    <w:p w14:paraId="72B9FC61" w14:textId="77777777" w:rsidR="00A20273" w:rsidRDefault="00A20273" w:rsidP="00A20273">
      <w:pPr>
        <w:pStyle w:val="Bibliography"/>
      </w:pPr>
      <w:r>
        <w:t xml:space="preserve">62. </w:t>
      </w:r>
      <w:r>
        <w:tab/>
        <w:t xml:space="preserve">Xavier TB, Coelho LV, Ferreira DAL, Cota Y Raposeiras JM, Duran MS, Silva LA, et al. Individualized positive end-expiratory pressure reduces driving pressure in obese patients during laparoscopic surgery under pneumoperitoneum: a randomized clinical trial. Front Physiol. 2024 Apr 5;15:1383167. </w:t>
      </w:r>
    </w:p>
    <w:p w14:paraId="6413FA64" w14:textId="77777777" w:rsidR="00A20273" w:rsidRDefault="00A20273" w:rsidP="00A20273">
      <w:pPr>
        <w:pStyle w:val="Bibliography"/>
      </w:pPr>
      <w:r>
        <w:t xml:space="preserve">63. </w:t>
      </w:r>
      <w:r>
        <w:tab/>
        <w:t xml:space="preserve">Yang G, Zhang P, Li L, Wang J, Jiao P, Wang J, et al. Driving Pressure-Guided Ventilation in Obese Patients Undergoing Laparoscopic Sleeve Gastrectomy: A Randomized Controlled Trial. Diabetes Metab Syndr Obes. 2023 May;Volume 16:1515–23. </w:t>
      </w:r>
    </w:p>
    <w:p w14:paraId="6D79B08F" w14:textId="77777777" w:rsidR="00A20273" w:rsidRDefault="00A20273" w:rsidP="00A20273">
      <w:pPr>
        <w:pStyle w:val="Bibliography"/>
      </w:pPr>
      <w:r>
        <w:t xml:space="preserve">64. </w:t>
      </w:r>
      <w:r>
        <w:tab/>
        <w:t xml:space="preserve">Zhang CX Fengying; Li, Weiwei; Tong, Xingyu; Xia, Ran; Wang, Wei; Du, Jianer; Shi, Xueyin. Driving Pressure-Guided Individualized Positive End-Expiratory Pressure in Abdominal Surgery: A Randomized Controlled Trial. Anesth Analg. 2021;133(5):1197–205. </w:t>
      </w:r>
    </w:p>
    <w:p w14:paraId="70773CCE" w14:textId="77777777" w:rsidR="00A20273" w:rsidRDefault="00A20273" w:rsidP="00A20273">
      <w:pPr>
        <w:pStyle w:val="Bibliography"/>
      </w:pPr>
      <w:r>
        <w:t xml:space="preserve">65. </w:t>
      </w:r>
      <w:r>
        <w:tab/>
        <w:t xml:space="preserve">Zhang W, Liu F, Zhao Z, Shao C, Xu X, Ma J, et al. Driving pressure-guided ventilation improves homogeneity in lung gas distribution for gynecological laparoscopy: a randomized controlled trial. Sci Rep. 2022 Dec 15;12(1):21687. </w:t>
      </w:r>
    </w:p>
    <w:p w14:paraId="2964A98B" w14:textId="77777777" w:rsidR="00A20273" w:rsidRDefault="00A20273" w:rsidP="00A20273">
      <w:pPr>
        <w:pStyle w:val="Bibliography"/>
      </w:pPr>
      <w:r>
        <w:t xml:space="preserve">66. </w:t>
      </w:r>
      <w:r>
        <w:tab/>
        <w:t xml:space="preserve">Zhou J, Wang C, Lv R, Liu N, Huang Y, Wang W, et al. Protective mechanical ventilation with optimal PEEP during RARP improves oxygenation and pulmonary indexes. Trials. 2021 Dec;22(1):351. </w:t>
      </w:r>
    </w:p>
    <w:p w14:paraId="15C8F2F8" w14:textId="77777777" w:rsidR="00A20273" w:rsidRDefault="00A20273" w:rsidP="00A20273">
      <w:pPr>
        <w:pStyle w:val="Bibliography"/>
      </w:pPr>
      <w:r>
        <w:t xml:space="preserve">67. </w:t>
      </w:r>
      <w:r>
        <w:tab/>
        <w:t xml:space="preserve">Xiao L, Yu K, Yang JJ, Liu WT, Liu L, Miao HH, et al. Effect of individualized positive end-expiratory pressure based on electrical impedance tomography guidance on pulmonary ventilation distribution in patients who receive abdominal thermal perfusion chemotherapy. Front Med. 2023 Sept 5;10:1198720. </w:t>
      </w:r>
    </w:p>
    <w:p w14:paraId="591DD3C8" w14:textId="77777777" w:rsidR="00A20273" w:rsidRDefault="00A20273" w:rsidP="00A20273">
      <w:pPr>
        <w:pStyle w:val="Bibliography"/>
      </w:pPr>
      <w:r>
        <w:t xml:space="preserve">68. </w:t>
      </w:r>
      <w:r>
        <w:tab/>
        <w:t xml:space="preserve">Liu JM Zhipeng; Lv, Ran; Zhang, Yaping; Wang, Gaojian; Xie, Junran. Effect of intraoperative lung-protective mechanical ventilation on pulmonary oxygenation function and postoperative pulmonary complications after laparoscopic radical gastrectomy. Braz J Med Biol Res Rev Bras Pesqui Medicas E Biol. 2019;52(6):e8523-NA. </w:t>
      </w:r>
    </w:p>
    <w:p w14:paraId="685288A1" w14:textId="77777777" w:rsidR="00A20273" w:rsidRDefault="00A20273" w:rsidP="00A20273">
      <w:pPr>
        <w:pStyle w:val="Bibliography"/>
      </w:pPr>
      <w:r>
        <w:t xml:space="preserve">69. </w:t>
      </w:r>
      <w:r>
        <w:tab/>
        <w:t xml:space="preserve">Acevedo ACZ Michael; Scharf, Christina; Liebchen, Uwe; Irlbeck, Michael; Schroeder, Ines. CytoSorb® Hemoadsorption as a Promising Tool to Handle COVID-19-Induced Cytokine Storm. Case Rep Crit Care. 2021;2021(NA):9937499–5. </w:t>
      </w:r>
    </w:p>
    <w:p w14:paraId="415074AF" w14:textId="77777777" w:rsidR="00A20273" w:rsidRDefault="00A20273" w:rsidP="00A20273">
      <w:pPr>
        <w:pStyle w:val="Bibliography"/>
      </w:pPr>
      <w:r>
        <w:t xml:space="preserve">70. </w:t>
      </w:r>
      <w:r>
        <w:tab/>
        <w:t xml:space="preserve">Akil AZ S; Reichelt, J; Rehers, Stephanie; Abdalla, Omer; Semik, Michael; Fischer, Stefan. Combined Use of CytoSorb and ECMO in Patients with Severe Pneumogenic Sepsis. Thorac Cardiovasc Surg. 2020;69(03):246–51. </w:t>
      </w:r>
    </w:p>
    <w:p w14:paraId="46994281" w14:textId="77777777" w:rsidR="00A20273" w:rsidRDefault="00A20273" w:rsidP="00A20273">
      <w:pPr>
        <w:pStyle w:val="Bibliography"/>
      </w:pPr>
      <w:r>
        <w:lastRenderedPageBreak/>
        <w:t xml:space="preserve">71. </w:t>
      </w:r>
      <w:r>
        <w:tab/>
        <w:t xml:space="preserve">Akil AZ Stephan; Rehers, Stephanie; Ernst, Erik Christian; Fischer, Stefan. Blood purification therapy in patients with severe COVID-19 requiring veno-venous ECMO therapy: A retrospective study. Int J Artif Organs. 2022;45(7):615–22. </w:t>
      </w:r>
    </w:p>
    <w:p w14:paraId="00991C0B" w14:textId="77777777" w:rsidR="00A20273" w:rsidRDefault="00A20273" w:rsidP="00A20273">
      <w:pPr>
        <w:pStyle w:val="Bibliography"/>
      </w:pPr>
      <w:r>
        <w:t xml:space="preserve">72. </w:t>
      </w:r>
      <w:r>
        <w:tab/>
        <w:t xml:space="preserve">Alharthy AF Fahad; Memish, Ziad A; Balhamar, Abdullah; Nasim, Nasir; Shahzad, Ahmad; Tamim, Hani; Alqahtani, Saleh A; Brindley, Peter G; Karakitsos, Dimitrios. Continuous renal replacement therapy with the addition of CytoSorb ® cartridge in critically ill patients with COVID-19 plus acute kidney injury: a case-series. Artif Organs. 2020;45(5):E101–12. </w:t>
      </w:r>
    </w:p>
    <w:p w14:paraId="0CD588EC" w14:textId="77777777" w:rsidR="00A20273" w:rsidRDefault="00A20273" w:rsidP="00A20273">
      <w:pPr>
        <w:pStyle w:val="Bibliography"/>
      </w:pPr>
      <w:r>
        <w:t xml:space="preserve">73. </w:t>
      </w:r>
      <w:r>
        <w:tab/>
        <w:t xml:space="preserve">Berlot GT Ariella; Pognuz, Erik Roman; Randino, Anna; Chiella, Fabrizio; La Fata, Cristina; Piva, Marco; Amato, Paola; Di Maso, Vittorio; Bianco, Francesco; Gerini, Ugo; Tomietto, Paola; Trenti, Tommaso. The Combined Use of Tocilizumab and Hemoadsorption in a Patient with SARS-COV-2-19-Associated Pneumonia: A Case Report. Nephron. 2020;144(9):459–62. </w:t>
      </w:r>
    </w:p>
    <w:p w14:paraId="76F27EAE" w14:textId="77777777" w:rsidR="00A20273" w:rsidRDefault="00A20273" w:rsidP="00A20273">
      <w:pPr>
        <w:pStyle w:val="Bibliography"/>
      </w:pPr>
      <w:r>
        <w:t xml:space="preserve">74. </w:t>
      </w:r>
      <w:r>
        <w:tab/>
        <w:t xml:space="preserve">Berlot G, Pintacuda S, Moro E, Paluzzano G, Scamperle A, Chillemi A, et al. Effects of tocilizumab versus hemoadsorption combined with tocilizumab in patients with SARS-CoV-2 pneumonia: Preliminary results. Int J Artif Organs. 2022 Jan;45(1):75–80. </w:t>
      </w:r>
    </w:p>
    <w:p w14:paraId="4FF2C059" w14:textId="77777777" w:rsidR="00A20273" w:rsidRDefault="00A20273" w:rsidP="00A20273">
      <w:pPr>
        <w:pStyle w:val="Bibliography"/>
      </w:pPr>
      <w:r>
        <w:t xml:space="preserve">75. </w:t>
      </w:r>
      <w:r>
        <w:tab/>
        <w:t xml:space="preserve">David S, Thamm K, Schmidt BMW, Falk CS, Kielstein JT. Effect of extracorporeal cytokine removal on vascular barrier function in a septic shock patient. J Intensive Care. 2017 Dec;5(1):12. </w:t>
      </w:r>
    </w:p>
    <w:p w14:paraId="2ECA048E" w14:textId="77777777" w:rsidR="00A20273" w:rsidRDefault="00A20273" w:rsidP="00A20273">
      <w:pPr>
        <w:pStyle w:val="Bibliography"/>
      </w:pPr>
      <w:r>
        <w:t xml:space="preserve">76. </w:t>
      </w:r>
      <w:r>
        <w:tab/>
        <w:t xml:space="preserve">Geraci TC, Kon ZN, Moazami N, Chang SH, Carillo J, Chen S, et al. Hemoadsorption for management of patients on veno-venous ECMO support for severe COVID-19 acute respiratory distress syndrome. J Card Surg. 2021 Nov;36(11):4256–64. </w:t>
      </w:r>
    </w:p>
    <w:p w14:paraId="171D767B" w14:textId="77777777" w:rsidR="00A20273" w:rsidRDefault="00A20273" w:rsidP="00A20273">
      <w:pPr>
        <w:pStyle w:val="Bibliography"/>
      </w:pPr>
      <w:r>
        <w:t xml:space="preserve">77. </w:t>
      </w:r>
      <w:r>
        <w:tab/>
        <w:t xml:space="preserve">Huang TTM, Chien YC, Wang CH, Chang SY, Wang JT, Hsieh SC, et al. Successful Treatment of a Critically Ill COVID-19 Patient Using Continuous Renal Replacement Therapy With Enhanced Cytokine Removal and Tocilizumab: A Case Report. Front Med. 2021 June 7;8:649583. </w:t>
      </w:r>
    </w:p>
    <w:p w14:paraId="60571DAE" w14:textId="77777777" w:rsidR="00A20273" w:rsidRDefault="00A20273" w:rsidP="00A20273">
      <w:pPr>
        <w:pStyle w:val="Bibliography"/>
      </w:pPr>
      <w:r>
        <w:t xml:space="preserve">78. </w:t>
      </w:r>
      <w:r>
        <w:tab/>
        <w:t xml:space="preserve">Kogelmann K, Scheller M, Drüner M, Jarczak D. Use of hemoadsorption in sepsis-associated ECMO-dependent severe ARDS: A case series. J Intensive Care Soc. 2020 May;21(2):183–90. </w:t>
      </w:r>
    </w:p>
    <w:p w14:paraId="091A839E" w14:textId="77777777" w:rsidR="00A20273" w:rsidRDefault="00A20273" w:rsidP="00A20273">
      <w:pPr>
        <w:pStyle w:val="Bibliography"/>
      </w:pPr>
      <w:r>
        <w:t xml:space="preserve">79. </w:t>
      </w:r>
      <w:r>
        <w:tab/>
        <w:t xml:space="preserve">LA CAMERA G. USE OF CYTOSORB IN A CARDIOPATHIC PATIENT SUFFERING FROM SEPTIC SHOCK, MULTIPLE ORGAN FAILURE AND ACUTE RESPIRATORY DISTRESS SYNDROME. THE CASE OF A CENTER IN CATANIA (ITALY). Acta Medica Mediterr. 2019 0 29;(5):2533–5. </w:t>
      </w:r>
    </w:p>
    <w:p w14:paraId="5937EAFC" w14:textId="77777777" w:rsidR="00A20273" w:rsidRDefault="00A20273" w:rsidP="00A20273">
      <w:pPr>
        <w:pStyle w:val="Bibliography"/>
      </w:pPr>
      <w:r>
        <w:t xml:space="preserve">80. </w:t>
      </w:r>
      <w:r>
        <w:tab/>
        <w:t xml:space="preserve">Lees N, Rosenberg A, Hurtado-Doce A, Jones J, Marczin N, Zeriouh M, et al. Combination of ECMO and cytokine adsorption therapy for severe sepsis with cardiogenic shock and ARDS due to Panton–Valentine leukocidin—positive Staphylococcus aureus pneumonia and H1N1. J Artif Organs. 2016 Dec;19(4):399–402. </w:t>
      </w:r>
    </w:p>
    <w:p w14:paraId="513EB44A" w14:textId="77777777" w:rsidR="00A20273" w:rsidRDefault="00A20273" w:rsidP="00A20273">
      <w:pPr>
        <w:pStyle w:val="Bibliography"/>
      </w:pPr>
      <w:r>
        <w:lastRenderedPageBreak/>
        <w:t xml:space="preserve">81. </w:t>
      </w:r>
      <w:r>
        <w:tab/>
        <w:t xml:space="preserve">Lother A, Benk C, Staudacher DL, Supady A, Bode C, Wengenmayer T, et al. Cytokine Adsorption in Critically Ill Patients Requiring ECMO Support. Front Cardiovasc Med. 2019 June 4;6:71. </w:t>
      </w:r>
    </w:p>
    <w:p w14:paraId="6D97668D" w14:textId="77777777" w:rsidR="00A20273" w:rsidRDefault="00A20273" w:rsidP="00A20273">
      <w:pPr>
        <w:pStyle w:val="Bibliography"/>
      </w:pPr>
      <w:r>
        <w:t xml:space="preserve">82. </w:t>
      </w:r>
      <w:r>
        <w:tab/>
        <w:t xml:space="preserve">Nassiri AA, Hakemi MS, Miri MM, Shahrami R, Koomleh AA, Sabaghian T. Blood purification with CytoSorb in critically ill COVID‐19 patients: A case series of 26 patients. Artif Organs. 2021 Nov;45(11):1338–47. </w:t>
      </w:r>
    </w:p>
    <w:p w14:paraId="64463019" w14:textId="77777777" w:rsidR="00A20273" w:rsidRDefault="00A20273" w:rsidP="00A20273">
      <w:pPr>
        <w:pStyle w:val="Bibliography"/>
      </w:pPr>
      <w:r>
        <w:t xml:space="preserve">83. </w:t>
      </w:r>
      <w:r>
        <w:tab/>
        <w:t xml:space="preserve">Pieri M, Fominskiy E, Nardelli P, Bonizzoni MA, Scandroglio AM. CytoSorb purification in critically ill SARS-CoV-2 patients. Int J Artif Organs. 2022 Feb;45(2):216–20. </w:t>
      </w:r>
    </w:p>
    <w:p w14:paraId="73B0191A" w14:textId="77777777" w:rsidR="00A20273" w:rsidRDefault="00A20273" w:rsidP="00A20273">
      <w:pPr>
        <w:pStyle w:val="Bibliography"/>
      </w:pPr>
      <w:r>
        <w:t xml:space="preserve">84. </w:t>
      </w:r>
      <w:r>
        <w:tab/>
        <w:t xml:space="preserve">Ramírez-Guerrero G, Torres Cifuentes V, Baghetti Hernández R, Villagrán Cortés F, Rojas Doll S, Oliva Alarcón R, et al. Early Cytokine Removal in Critical COVID-19 Patients with Extracorporeal Therapies (HA-380 plus High Volume Hemofiltration) May Prevent Progression of Acute Respiratory Distress Syndrome: Case Report. Blood Purif. 2021;50(4–5):575–7. </w:t>
      </w:r>
    </w:p>
    <w:p w14:paraId="45BFFB79" w14:textId="77777777" w:rsidR="00A20273" w:rsidRDefault="00A20273" w:rsidP="00A20273">
      <w:pPr>
        <w:pStyle w:val="Bibliography"/>
      </w:pPr>
      <w:r>
        <w:t xml:space="preserve">85. </w:t>
      </w:r>
      <w:r>
        <w:tab/>
        <w:t xml:space="preserve">Rampino T, Gregorini M, Perotti L, Ferrari F, Pattonieri EF, Grignano MA, et al. Hemoperfusion with CytoSorb as Adjuvant Therapy in Critically Ill Patients with SARS-CoV2 Pneumonia. Blood Purif. 2021;50(4–5):566–71. </w:t>
      </w:r>
    </w:p>
    <w:p w14:paraId="711F22B3" w14:textId="77777777" w:rsidR="00A20273" w:rsidRDefault="00A20273" w:rsidP="00A20273">
      <w:pPr>
        <w:pStyle w:val="Bibliography"/>
      </w:pPr>
      <w:r>
        <w:t xml:space="preserve">86. </w:t>
      </w:r>
      <w:r>
        <w:tab/>
        <w:t xml:space="preserve">Rieder M, Zahn T, Benk C, Lother A, Bode C, Staudacher D, et al. Cytokine adsorption in a patient with severe coronavirus disease 2019 related acute respiratory distress syndrome requiring extracorporeal membrane oxygenation therapy: A case report. Artif Organs. 2021 Feb;45(2):191–4. </w:t>
      </w:r>
    </w:p>
    <w:p w14:paraId="528333BF" w14:textId="77777777" w:rsidR="00A20273" w:rsidRDefault="00A20273" w:rsidP="00A20273">
      <w:pPr>
        <w:pStyle w:val="Bibliography"/>
      </w:pPr>
      <w:r>
        <w:t xml:space="preserve">87. </w:t>
      </w:r>
      <w:r>
        <w:tab/>
        <w:t xml:space="preserve">Rizvi S, Danic M, Silver M, LaBond V. Cytosorb filter: An adjunct for survival in the COVID-19 patient in cytokine storm? a case report. Heart Lung J Crit Care. 2021 Feb;50(1):44–50. </w:t>
      </w:r>
    </w:p>
    <w:p w14:paraId="0E651702" w14:textId="77777777" w:rsidR="00A20273" w:rsidRDefault="00A20273" w:rsidP="00A20273">
      <w:pPr>
        <w:pStyle w:val="Bibliography"/>
      </w:pPr>
      <w:r>
        <w:t xml:space="preserve">88. </w:t>
      </w:r>
      <w:r>
        <w:tab/>
        <w:t xml:space="preserve">Rodeia SCM Francisca Lopes; Fortuna, Philip; Bento, Luís. Cytokine Adsorption Therapy during Extracorporeal Membrane Oxygenation in Adult Patients with COVID-19. Blood Purif. 2021;51(9):1–7. </w:t>
      </w:r>
    </w:p>
    <w:p w14:paraId="57305B6D" w14:textId="77777777" w:rsidR="00A20273" w:rsidRDefault="00A20273" w:rsidP="00A20273">
      <w:pPr>
        <w:pStyle w:val="Bibliography"/>
      </w:pPr>
      <w:r>
        <w:t xml:space="preserve">89. </w:t>
      </w:r>
      <w:r>
        <w:tab/>
        <w:t xml:space="preserve">Träger K, Schütz C, Fischer G, Schröder J, Skrabal C, Liebold A, et al. Cytokine Reduction in the Setting of an ARDS-Associated Inflammatory Response with Multiple Organ Failure. Case Rep Crit Care. 2016;2016:1–4. </w:t>
      </w:r>
    </w:p>
    <w:p w14:paraId="75304B2C" w14:textId="77777777" w:rsidR="00A20273" w:rsidRDefault="00A20273" w:rsidP="00A20273">
      <w:pPr>
        <w:pStyle w:val="Bibliography"/>
      </w:pPr>
      <w:r>
        <w:t xml:space="preserve">90. </w:t>
      </w:r>
      <w:r>
        <w:tab/>
        <w:t>Wiegele M, Krenn CG. Cytosorb</w:t>
      </w:r>
      <w:r>
        <w:rPr>
          <w:vertAlign w:val="superscript"/>
        </w:rPr>
        <w:t>TM</w:t>
      </w:r>
      <w:r>
        <w:t xml:space="preserve"> in a Patient with Legionella Pneumonia–Associated Rhabdomyolysis: A Case Report. ASAIO J. 2015 May;61(3):e14–6. </w:t>
      </w:r>
    </w:p>
    <w:p w14:paraId="58C0CA5F" w14:textId="77777777" w:rsidR="00A20273" w:rsidRDefault="00A20273" w:rsidP="00A20273">
      <w:pPr>
        <w:pStyle w:val="Bibliography"/>
      </w:pPr>
      <w:r>
        <w:t xml:space="preserve">91. </w:t>
      </w:r>
      <w:r>
        <w:tab/>
        <w:t xml:space="preserve">Wunderlich-Sperl F, Kautzky S, Pickem C, Hörmann C. Adjuvant hemoadsorption therapy in patients with severe COVID-19 and related organ failure requiring CRRT or ECMO therapy: A case series. Int J Artif Organs. 2021 Oct;44(10):694–702. </w:t>
      </w:r>
    </w:p>
    <w:p w14:paraId="77209439" w14:textId="77777777" w:rsidR="00A20273" w:rsidRDefault="00A20273" w:rsidP="00A20273">
      <w:pPr>
        <w:pStyle w:val="Bibliography"/>
      </w:pPr>
      <w:r>
        <w:t xml:space="preserve">92. </w:t>
      </w:r>
      <w:r>
        <w:tab/>
        <w:t xml:space="preserve">Huang Z, Wang S rong, Yang Z li, Liu J yun. Effect on Extrapulmonary Sepsis-Induced Acute Lung Injury by Hemoperfusion With Neutral Microporous Resin </w:t>
      </w:r>
      <w:r>
        <w:lastRenderedPageBreak/>
        <w:t xml:space="preserve">Column: Effect of Hemoperfusion on Sepsis. Ther Apher Dial. 2013 Aug;17(4):454–61. </w:t>
      </w:r>
    </w:p>
    <w:p w14:paraId="37E33642" w14:textId="77777777" w:rsidR="00A20273" w:rsidRDefault="00A20273" w:rsidP="00A20273">
      <w:pPr>
        <w:pStyle w:val="Bibliography"/>
      </w:pPr>
      <w:r>
        <w:t xml:space="preserve">93. </w:t>
      </w:r>
      <w:r>
        <w:tab/>
        <w:t xml:space="preserve">Kovacevic P, Tomic B, Kovacevic T, Dragic S. Use of CytoSorb® as a therapeutic option in a critically ill patient with acute respiratory distress syndrome caused by influenza A (H1N1) pneumonia: A case report. Int J Crit Illn Inj Sci. 2020;10(4):216–9. </w:t>
      </w:r>
    </w:p>
    <w:p w14:paraId="22A55D04" w14:textId="77777777" w:rsidR="00A20273" w:rsidRDefault="00A20273" w:rsidP="00A20273">
      <w:pPr>
        <w:pStyle w:val="Bibliography"/>
      </w:pPr>
      <w:r>
        <w:t xml:space="preserve">94. </w:t>
      </w:r>
      <w:r>
        <w:tab/>
        <w:t xml:space="preserve">Li P, Kang X, Miao M, Zhang J. Individualized positive end-expiratory pressure (PEEP) during one-lung ventilation for prevention of postoperative pulmonary complications in patients undergoing thoracic surgery: A meta-analysis. Medicine (Baltimore). 2021 July 16;100(28):e26638. </w:t>
      </w:r>
    </w:p>
    <w:p w14:paraId="3CEE3087" w14:textId="77777777" w:rsidR="00A20273" w:rsidRDefault="00A20273" w:rsidP="00A20273">
      <w:pPr>
        <w:pStyle w:val="Bibliography"/>
      </w:pPr>
      <w:r>
        <w:t xml:space="preserve">95. </w:t>
      </w:r>
      <w:r>
        <w:tab/>
        <w:t xml:space="preserve">Writing Committee for the PROBESE Collaborative Group of the PROtective VEntilation Network (PROVEnet) for the Clinical Trial Network of the European Society of Anaesthesiology, Bluth T, Serpa Neto A, Schultz MJ, Pelosi P, Gama De Abreu M. Effect of Intraoperative High Positive End-Expiratory Pressure (PEEP) With Recruitment Maneuvers vs Low PEEP on Postoperative Pulmonary Complications in Obese Patients: A Randomized Clinical Trial. JAMA. 2019 June 18;321(23):2292. </w:t>
      </w:r>
    </w:p>
    <w:p w14:paraId="18C88F3A" w14:textId="77777777" w:rsidR="00A20273" w:rsidRDefault="00A20273" w:rsidP="00A20273">
      <w:pPr>
        <w:pStyle w:val="Bibliography"/>
      </w:pPr>
      <w:r>
        <w:t xml:space="preserve">96. </w:t>
      </w:r>
      <w:r>
        <w:tab/>
        <w:t xml:space="preserve">Lawrence VA; H Susan G; Mulrow, Cynthia D; Dhanda, Rahul; Sapp, Joan; Page, Carey P. Incidence and hospital stay for cardiac and pulmonary complications after abdominal surgery. J Gen Intern Med. 1995;10(12):671–8. </w:t>
      </w:r>
    </w:p>
    <w:p w14:paraId="612B51ED" w14:textId="77777777" w:rsidR="00A20273" w:rsidRDefault="00A20273" w:rsidP="00A20273">
      <w:pPr>
        <w:pStyle w:val="Bibliography"/>
      </w:pPr>
      <w:r>
        <w:t xml:space="preserve">97. </w:t>
      </w:r>
      <w:r>
        <w:tab/>
        <w:t xml:space="preserve">Yang CKT Annabelle; Lee, David Y; Rose, Keith. Pulmonary complications after major abdominal surgery: National Surgical Quality Improvement Program analysis. J Surg Res. 2015;198(2):441–9. </w:t>
      </w:r>
    </w:p>
    <w:p w14:paraId="55F2D13B" w14:textId="77777777" w:rsidR="00A20273" w:rsidRDefault="00A20273" w:rsidP="00A20273">
      <w:pPr>
        <w:pStyle w:val="Bibliography"/>
      </w:pPr>
      <w:r>
        <w:t xml:space="preserve">98. </w:t>
      </w:r>
      <w:r>
        <w:tab/>
        <w:t xml:space="preserve">Patel KH Fatemeh; Ali, Aysha; Broadley, Graham; Evans, Kate; Horder, Claire; Johnstone, Marianne; Langlands, Fiona; Matthews, Jake; Narayan, Prithish; Rallon, Priya; Roberts, Charlotte; Shah, Sonali; Vohra, Ravinder S. Postoperative pulmonary complications following major elective abdominal surgery: a cohort study. Perioper Med Lond Engl. 2016;5(1):10–10. </w:t>
      </w:r>
    </w:p>
    <w:p w14:paraId="5F519FFF" w14:textId="77777777" w:rsidR="00A20273" w:rsidRDefault="00A20273" w:rsidP="00A20273">
      <w:pPr>
        <w:pStyle w:val="Bibliography"/>
      </w:pPr>
      <w:r>
        <w:t xml:space="preserve">99. </w:t>
      </w:r>
      <w:r>
        <w:tab/>
        <w:t xml:space="preserve">Shander AF Lee A; Barie, Philip S; Bigatello, Luca M; Sladen, Robert N; Watson, Charles B. Clinical and economic burden of postoperative pulmonary complications: patient safety summit on definition, risk-reducing interventions, and preventive strategies. Crit Care Med. 2011;39(9):2163–72. </w:t>
      </w:r>
    </w:p>
    <w:p w14:paraId="5973D220" w14:textId="77777777" w:rsidR="00A20273" w:rsidRDefault="00A20273" w:rsidP="00A20273">
      <w:pPr>
        <w:pStyle w:val="Bibliography"/>
      </w:pPr>
      <w:r>
        <w:t xml:space="preserve">100. </w:t>
      </w:r>
      <w:r>
        <w:tab/>
        <w:t xml:space="preserve">Jiang L, Deng Y, Xu F, Qiao S, Wang C. Individualized PEEP guided by EIT in patients undergoing general anesthesia: A systematic review and meta-analysis. J Clin Anesth. 2024 June;94:111397. </w:t>
      </w:r>
    </w:p>
    <w:p w14:paraId="4B510352" w14:textId="77777777" w:rsidR="00A20273" w:rsidRDefault="00A20273" w:rsidP="00A20273">
      <w:pPr>
        <w:pStyle w:val="Bibliography"/>
      </w:pPr>
      <w:r>
        <w:t xml:space="preserve">101. </w:t>
      </w:r>
      <w:r>
        <w:tab/>
        <w:t xml:space="preserve">Monnet X, Shi R, Teboul JL. Prediction of fluid responsiveness. What’s new? Ann Intensive Care. 2022 Dec;12(1):46. </w:t>
      </w:r>
    </w:p>
    <w:p w14:paraId="7DF937A1" w14:textId="77777777" w:rsidR="00A20273" w:rsidRDefault="00A20273" w:rsidP="00A20273">
      <w:pPr>
        <w:pStyle w:val="Bibliography"/>
      </w:pPr>
      <w:r>
        <w:lastRenderedPageBreak/>
        <w:t xml:space="preserve">102. </w:t>
      </w:r>
      <w:r>
        <w:tab/>
        <w:t xml:space="preserve">La Via L, Vasile F, Perna F, Zawadka M. Prediction of fluid responsiveness in critical care: Current evidence and future perspective. Trends Anaesth Crit Care. 2024 Feb;54:101316. </w:t>
      </w:r>
    </w:p>
    <w:p w14:paraId="5CD80955" w14:textId="77777777" w:rsidR="00A20273" w:rsidRDefault="00A20273" w:rsidP="00A20273">
      <w:pPr>
        <w:pStyle w:val="Bibliography"/>
      </w:pPr>
      <w:r>
        <w:t xml:space="preserve">103. </w:t>
      </w:r>
      <w:r>
        <w:tab/>
        <w:t xml:space="preserve">Simon P, Girrbach F, Petroff D, Schliewe N, Hempel G, Lange M, et al. Individualized versus Fixed Positive End-expiratory Pressure for Intraoperative Mechanical Ventilation in Obese Patients: a Secondary Analysis. Anesthesiology. 2021;134(6):887‐900. </w:t>
      </w:r>
    </w:p>
    <w:p w14:paraId="66EAE6CE" w14:textId="77777777" w:rsidR="00A20273" w:rsidRDefault="00A20273" w:rsidP="00A20273">
      <w:pPr>
        <w:pStyle w:val="Bibliography"/>
      </w:pPr>
      <w:r>
        <w:t xml:space="preserve">104. </w:t>
      </w:r>
      <w:r>
        <w:tab/>
        <w:t xml:space="preserve">Boesing C, Schaefer L, Schoettler J, Quentin A, Beck G, Thiel M, et al. Effects of individualised positive end-expiratory pressure titration on respiratory and haemodynamic parameters during the Trendelenburg position with pneumoperitoneum: a randomised crossover physiologic trial. Eur J Anaesthesiol. 2023;40(11):817‐825. </w:t>
      </w:r>
    </w:p>
    <w:p w14:paraId="5CA56060" w14:textId="77777777" w:rsidR="00A20273" w:rsidRDefault="00A20273" w:rsidP="00A20273">
      <w:pPr>
        <w:pStyle w:val="Bibliography"/>
      </w:pPr>
      <w:r>
        <w:t xml:space="preserve">105. </w:t>
      </w:r>
      <w:r>
        <w:tab/>
        <w:t xml:space="preserve">Cammarota G, Lauro G, Sguazzotti I, Mariano I, Perucca R, Messina A, et al. Esophageal Pressure Versus Gas Exchange to Set PEEP During Intraoperative Ventilation. Respir Care. 2020;65(5):625‐635. </w:t>
      </w:r>
    </w:p>
    <w:p w14:paraId="4F6F2029" w14:textId="77777777" w:rsidR="00A20273" w:rsidRDefault="00A20273" w:rsidP="00A20273">
      <w:pPr>
        <w:pStyle w:val="Bibliography"/>
      </w:pPr>
      <w:r>
        <w:t xml:space="preserve">106. </w:t>
      </w:r>
      <w:r>
        <w:tab/>
        <w:t xml:space="preserve">Amato MBP, Barbas CSV, Medeiros DM, Magaldi RB, Schettino GP, Lorenzi-Filho G, et al. Effect of a Protective-Ventilation Strategy on Mortality in the Acute Respiratory Distress Syndrome. N Engl J Med. 1998 Feb 5;338(6):347–54. </w:t>
      </w:r>
    </w:p>
    <w:p w14:paraId="7531A433" w14:textId="77777777" w:rsidR="00A20273" w:rsidRDefault="00A20273" w:rsidP="00A20273">
      <w:pPr>
        <w:pStyle w:val="Bibliography"/>
      </w:pPr>
      <w:r>
        <w:t xml:space="preserve">107. </w:t>
      </w:r>
      <w:r>
        <w:tab/>
        <w:t xml:space="preserve">Futier E, Constantin JM, Paugam-Burtz C, Pascal J, Eurin M, Neuschwander A, et al. A Trial of Intraoperative Low-Tidal-Volume Ventilation in Abdominal Surgery. N Engl J Med. 2013 Aug;369(5):428–37. </w:t>
      </w:r>
    </w:p>
    <w:p w14:paraId="0C753A88" w14:textId="77777777" w:rsidR="00A20273" w:rsidRDefault="00A20273" w:rsidP="00A20273">
      <w:pPr>
        <w:pStyle w:val="Bibliography"/>
      </w:pPr>
      <w:r>
        <w:t xml:space="preserve">108. </w:t>
      </w:r>
      <w:r>
        <w:tab/>
        <w:t xml:space="preserve">Whalen FX, Gajic O, Thompson GB, Kendrick ML, Que FL, Williams BA, et al. The Effects of the Alveolar Recruitment Maneuver and Positive End-Expiratory Pressure on Arterial Oxygenation During Laparoscopic Bariatric Surgery. Anesth Analg. 2006 Jan;102(1):298–305. </w:t>
      </w:r>
    </w:p>
    <w:p w14:paraId="08532C95" w14:textId="77777777" w:rsidR="00A20273" w:rsidRDefault="00A20273" w:rsidP="00A20273">
      <w:pPr>
        <w:pStyle w:val="Bibliography"/>
      </w:pPr>
      <w:r>
        <w:t xml:space="preserve">109. </w:t>
      </w:r>
      <w:r>
        <w:tab/>
        <w:t>Talley HC. Anesthesia Providers’ Knowledge and Use of Alveolar Recruitment Maneuvers. J Anesth Clin Res [Internet]. 2012 [cited 2022 July 20];03(08). Available from: https://www.omicsonline.org/anesthesia-providers-knowledge-and-use-of-alveolar-recruitment-maneuvers-2155-6148.1000235.php?aid=8332</w:t>
      </w:r>
    </w:p>
    <w:p w14:paraId="79E1F3F1" w14:textId="77777777" w:rsidR="00A20273" w:rsidRDefault="00A20273" w:rsidP="00A20273">
      <w:pPr>
        <w:pStyle w:val="Bibliography"/>
      </w:pPr>
      <w:r>
        <w:t xml:space="preserve">110. </w:t>
      </w:r>
      <w:r>
        <w:tab/>
        <w:t xml:space="preserve">Hess DR. Recruitment Maneuvers and PEEP Titration. Respir Care. 2015 Nov 1;60(11):1688–704. </w:t>
      </w:r>
    </w:p>
    <w:p w14:paraId="6C585E02" w14:textId="77777777" w:rsidR="00A20273" w:rsidRDefault="00A20273" w:rsidP="00A20273">
      <w:pPr>
        <w:pStyle w:val="Bibliography"/>
      </w:pPr>
      <w:r>
        <w:t xml:space="preserve">111. </w:t>
      </w:r>
      <w:r>
        <w:tab/>
        <w:t xml:space="preserve">Robertson AGN, Wiggins T, Robertson FP, Huppler L, Doleman B, Harrison EM, et al. Perioperative mortality in bariatric surgery: meta-analysis. Br J Surg. 2021 Aug 19;108(8):892–7. </w:t>
      </w:r>
    </w:p>
    <w:p w14:paraId="151B5D81" w14:textId="77777777" w:rsidR="00A20273" w:rsidRDefault="00A20273" w:rsidP="00A20273">
      <w:pPr>
        <w:pStyle w:val="Bibliography"/>
      </w:pPr>
      <w:r>
        <w:t xml:space="preserve">112. </w:t>
      </w:r>
      <w:r>
        <w:tab/>
        <w:t xml:space="preserve">Pereira JF, Golijanin D, Pareek G, Guo R, Zhang Z, Renzulli J, et al. The association of age with perioperative morbidity and mortality among men undergoing radical prostatectomy. Urol Oncol Semin Orig Investig. 2018 Apr;36(4):157.e7-157.e13. </w:t>
      </w:r>
    </w:p>
    <w:p w14:paraId="55DECB32" w14:textId="77777777" w:rsidR="00A20273" w:rsidRDefault="00A20273" w:rsidP="00A20273">
      <w:pPr>
        <w:pStyle w:val="Bibliography"/>
      </w:pPr>
      <w:r>
        <w:lastRenderedPageBreak/>
        <w:t xml:space="preserve">113. </w:t>
      </w:r>
      <w:r>
        <w:tab/>
        <w:t xml:space="preserve">Zhang H, He F, Li P, Hardwidge PR, Li N, Peng Y. The Role of Innate Immunity in Pulmonary Infections. Ashwood P, editor. BioMed Res Int. 2021 Jan 22;2021:1–14. </w:t>
      </w:r>
    </w:p>
    <w:p w14:paraId="5F2612E1" w14:textId="77777777" w:rsidR="00A20273" w:rsidRDefault="00A20273" w:rsidP="00A20273">
      <w:pPr>
        <w:pStyle w:val="Bibliography"/>
      </w:pPr>
      <w:r>
        <w:t xml:space="preserve">114. </w:t>
      </w:r>
      <w:r>
        <w:tab/>
        <w:t xml:space="preserve">Mantovani A, Cassatella MA, Costantini C, Jaillon S. Neutrophils in the activation and regulation of innate and adaptive immunity. Nat Rev Immunol. 2011 Aug;11(8):519–31. </w:t>
      </w:r>
    </w:p>
    <w:p w14:paraId="52AF3A26" w14:textId="77777777" w:rsidR="00A20273" w:rsidRDefault="00A20273" w:rsidP="00A20273">
      <w:pPr>
        <w:pStyle w:val="Bibliography"/>
      </w:pPr>
      <w:r>
        <w:t xml:space="preserve">115. </w:t>
      </w:r>
      <w:r>
        <w:tab/>
        <w:t xml:space="preserve">Song M, Winchester J, Albright RL, Capponi VJ, Choquette MD, Kellum JA. Cytokine Removal with a Novel Adsorbent Polymer. Blood Purif. 2004;22(5):428–34. </w:t>
      </w:r>
    </w:p>
    <w:p w14:paraId="275699AD" w14:textId="77777777" w:rsidR="00A20273" w:rsidRDefault="00A20273" w:rsidP="00A20273">
      <w:pPr>
        <w:pStyle w:val="Bibliography"/>
      </w:pPr>
      <w:r>
        <w:t xml:space="preserve">116. </w:t>
      </w:r>
      <w:r>
        <w:tab/>
        <w:t xml:space="preserve">Kellum JA, Song M, Venkataraman R. Hemoadsorption removes tumor necrosis factor, interleukin-6, and interleukin-10, reduces nuclear factor-κB DNA binding, and improves short-term survival in lethal endotoxemia*: Crit Care Med. 2004 Mar;32(3):801–5. </w:t>
      </w:r>
    </w:p>
    <w:p w14:paraId="40523B78" w14:textId="77777777" w:rsidR="00A20273" w:rsidRDefault="00A20273" w:rsidP="00A20273">
      <w:pPr>
        <w:pStyle w:val="Bibliography"/>
      </w:pPr>
      <w:r>
        <w:t xml:space="preserve">117. </w:t>
      </w:r>
      <w:r>
        <w:tab/>
        <w:t xml:space="preserve">Schädler D, Pausch C, Heise D, Meier-Hellmann A, Brederlau J, Weiler N, et al. The effect of a novel extracorporeal cytokine hemoadsorption device on IL-6 elimination in septic patients: A randomized controlled trial. Eller K, editor. PLOS ONE. 2017 Oct 30;12(10):e0187015. </w:t>
      </w:r>
    </w:p>
    <w:p w14:paraId="2DC03839" w14:textId="77777777" w:rsidR="00A20273" w:rsidRDefault="00A20273" w:rsidP="00A20273">
      <w:pPr>
        <w:pStyle w:val="Bibliography"/>
      </w:pPr>
      <w:r>
        <w:t xml:space="preserve">118. </w:t>
      </w:r>
      <w:r>
        <w:tab/>
        <w:t xml:space="preserve">Wei S, Zhang Y, Zhai K, Li J, Li M, Yang J, et al. CytoSorb in patients with coronavirus disease 2019: A rapid evidence review and meta-analysis. Front Immunol. 2023 Jan 31;14:1067214. </w:t>
      </w:r>
    </w:p>
    <w:p w14:paraId="42399D14" w14:textId="77777777" w:rsidR="00A20273" w:rsidRDefault="00A20273" w:rsidP="00A20273">
      <w:pPr>
        <w:pStyle w:val="Bibliography"/>
      </w:pPr>
      <w:r>
        <w:t xml:space="preserve">119. </w:t>
      </w:r>
      <w:r>
        <w:tab/>
        <w:t xml:space="preserve">Hawchar FR Cristina; Akil, Ali; Mehta, Yatin; Rugg, Christopher; Scheier, Joerg; Adamson, Harriet; Deliargyris, Efthymios N; Molnár, Zsolt. The Potential Role of Extracorporeal Cytokine Removal in Hemodynamic Stabilization in Hyperinflammatory Shock. Biomedicines. 2021;9(7):768-NA. </w:t>
      </w:r>
    </w:p>
    <w:p w14:paraId="374BCED9" w14:textId="77777777" w:rsidR="00A20273" w:rsidRDefault="00A20273" w:rsidP="00A20273">
      <w:pPr>
        <w:pStyle w:val="Bibliography"/>
      </w:pPr>
      <w:r>
        <w:t xml:space="preserve">120. </w:t>
      </w:r>
      <w:r>
        <w:tab/>
        <w:t xml:space="preserve">Rugg C, Klose R, Hornung R, Innerhofer N, Bachler M, Schmid S, et al. Hemoadsorption with CytoSorb in Septic Shock Reduces Catecholamine Requirements and In-Hospital Mortality: A Single-Center Retrospective ‘Genetic’ Matched Analysis. Biomedicines. 2020 Nov 26;8(12):539. </w:t>
      </w:r>
    </w:p>
    <w:p w14:paraId="724B38B7" w14:textId="77777777" w:rsidR="00A20273" w:rsidRDefault="00A20273" w:rsidP="00A20273">
      <w:pPr>
        <w:pStyle w:val="Bibliography"/>
      </w:pPr>
      <w:r>
        <w:t xml:space="preserve">121. </w:t>
      </w:r>
      <w:r>
        <w:tab/>
        <w:t xml:space="preserve">Akil A, Napp LC, Rao C, Klaus T, Scheier J, Pappalardo F. Use of CytoSorb© Hemoadsorption in Patients on Veno-Venous ECMO Support for Severe Acute Respiratory Distress Syndrome: A Systematic Review. J Clin Med. 2022 Oct 11;11(20):5990. </w:t>
      </w:r>
    </w:p>
    <w:p w14:paraId="4ACBB52C" w14:textId="77777777" w:rsidR="00A20273" w:rsidRDefault="00A20273" w:rsidP="00A20273">
      <w:pPr>
        <w:pStyle w:val="Bibliography"/>
      </w:pPr>
      <w:r>
        <w:t xml:space="preserve">122. </w:t>
      </w:r>
      <w:r>
        <w:tab/>
        <w:t xml:space="preserve">Ruiz-Rodríguez JC, Molnar Z, Deliargyris EN, Ferrer R. The Use of CytoSorb Therapy in Critically Ill COVID-19 Patients: Review of the Rationale and Current Clinical Experiences. Tisherman SA, editor. Crit Care Res Pract. 2021 July 17;2021:1–10. </w:t>
      </w:r>
    </w:p>
    <w:p w14:paraId="4A57E7F8" w14:textId="7EA88DE8" w:rsidR="009D62C6" w:rsidRPr="00483D15" w:rsidRDefault="00D64352" w:rsidP="0036711F">
      <w:pPr>
        <w:rPr>
          <w:rFonts w:eastAsiaTheme="majorEastAsia" w:cstheme="majorBidi"/>
          <w:b/>
          <w:szCs w:val="40"/>
          <w:lang w:val="en-US"/>
        </w:rPr>
      </w:pPr>
      <w:r w:rsidRPr="00483D15">
        <w:rPr>
          <w:lang w:val="en-US"/>
        </w:rPr>
        <w:fldChar w:fldCharType="end"/>
      </w:r>
      <w:r w:rsidR="009D62C6" w:rsidRPr="00483D15">
        <w:rPr>
          <w:lang w:val="en-US"/>
        </w:rPr>
        <w:br w:type="page"/>
      </w:r>
    </w:p>
    <w:p w14:paraId="0D98432D" w14:textId="68817AFB" w:rsidR="00B41FBB" w:rsidRPr="00483D15" w:rsidRDefault="00B41FBB" w:rsidP="0036711F">
      <w:pPr>
        <w:pStyle w:val="Heading1"/>
        <w:rPr>
          <w:b w:val="0"/>
          <w:lang w:val="en-US"/>
        </w:rPr>
      </w:pPr>
      <w:bookmarkStart w:id="110" w:name="_Toc211542238"/>
      <w:r w:rsidRPr="00483D15">
        <w:rPr>
          <w:lang w:val="en-US"/>
        </w:rPr>
        <w:lastRenderedPageBreak/>
        <w:t>16. BIBLIOGRAPHY</w:t>
      </w:r>
      <w:bookmarkEnd w:id="110"/>
    </w:p>
    <w:p w14:paraId="46B82922" w14:textId="77777777" w:rsidR="00B41FBB" w:rsidRDefault="00B41FBB" w:rsidP="0036711F">
      <w:pPr>
        <w:pStyle w:val="Heading2"/>
        <w:rPr>
          <w:lang w:val="en-US"/>
        </w:rPr>
      </w:pPr>
      <w:bookmarkStart w:id="111" w:name="_Toc211542239"/>
      <w:r w:rsidRPr="00483D15">
        <w:rPr>
          <w:lang w:val="en-US"/>
        </w:rPr>
        <w:t>16.1. Publications related to the thesis</w:t>
      </w:r>
      <w:bookmarkEnd w:id="111"/>
    </w:p>
    <w:p w14:paraId="7566C658" w14:textId="3838EF88" w:rsidR="009B13C5" w:rsidRDefault="00FC52F8" w:rsidP="00FC52F8">
      <w:pPr>
        <w:jc w:val="left"/>
        <w:rPr>
          <w:lang w:val="en-US"/>
        </w:rPr>
      </w:pPr>
      <w:proofErr w:type="spellStart"/>
      <w:r w:rsidRPr="00FC52F8">
        <w:rPr>
          <w:i/>
          <w:iCs/>
          <w:lang w:val="en-US"/>
        </w:rPr>
        <w:t>Hemoadsorption</w:t>
      </w:r>
      <w:proofErr w:type="spellEnd"/>
      <w:r w:rsidRPr="00FC52F8">
        <w:rPr>
          <w:i/>
          <w:iCs/>
          <w:lang w:val="en-US"/>
        </w:rPr>
        <w:t xml:space="preserve"> as Adjuvant Therapy in Acute Respiratory Distress Syndrome (ARDS</w:t>
      </w:r>
      <w:proofErr w:type="gramStart"/>
      <w:r w:rsidRPr="00FC52F8">
        <w:rPr>
          <w:i/>
          <w:iCs/>
          <w:lang w:val="en-US"/>
        </w:rPr>
        <w:t>) :</w:t>
      </w:r>
      <w:proofErr w:type="gramEnd"/>
      <w:r w:rsidRPr="00FC52F8">
        <w:rPr>
          <w:i/>
          <w:iCs/>
          <w:lang w:val="en-US"/>
        </w:rPr>
        <w:t xml:space="preserve"> A Systematic Review and Meta-Analysis</w:t>
      </w:r>
      <w:r w:rsidR="00916E44">
        <w:rPr>
          <w:i/>
          <w:iCs/>
          <w:lang w:val="en-US"/>
        </w:rPr>
        <w:br/>
      </w:r>
      <w:r w:rsidRPr="00FC52F8">
        <w:rPr>
          <w:b/>
          <w:bCs/>
          <w:lang w:val="en-US"/>
        </w:rPr>
        <w:t xml:space="preserve">Szigetváry, Csenge </w:t>
      </w:r>
      <w:proofErr w:type="gramStart"/>
      <w:r w:rsidRPr="00FC52F8">
        <w:rPr>
          <w:b/>
          <w:bCs/>
          <w:lang w:val="en-US"/>
        </w:rPr>
        <w:t>Erzsébet</w:t>
      </w:r>
      <w:r w:rsidRPr="00FC52F8">
        <w:rPr>
          <w:lang w:val="en-US"/>
        </w:rPr>
        <w:t xml:space="preserve"> ;</w:t>
      </w:r>
      <w:proofErr w:type="gramEnd"/>
      <w:r w:rsidRPr="00FC52F8">
        <w:rPr>
          <w:lang w:val="en-US"/>
        </w:rPr>
        <w:t xml:space="preserve"> Turan, </w:t>
      </w:r>
      <w:proofErr w:type="gramStart"/>
      <w:r w:rsidRPr="00FC52F8">
        <w:rPr>
          <w:lang w:val="en-US"/>
        </w:rPr>
        <w:t>Caner ;</w:t>
      </w:r>
      <w:proofErr w:type="gramEnd"/>
      <w:r w:rsidRPr="00FC52F8">
        <w:rPr>
          <w:lang w:val="en-US"/>
        </w:rPr>
        <w:t xml:space="preserve"> Kovács, Emőke </w:t>
      </w:r>
      <w:proofErr w:type="gramStart"/>
      <w:r w:rsidRPr="00FC52F8">
        <w:rPr>
          <w:lang w:val="en-US"/>
        </w:rPr>
        <w:t>Henrietta ;</w:t>
      </w:r>
      <w:proofErr w:type="gramEnd"/>
      <w:r w:rsidRPr="00FC52F8">
        <w:rPr>
          <w:lang w:val="en-US"/>
        </w:rPr>
        <w:t xml:space="preserve"> </w:t>
      </w:r>
      <w:proofErr w:type="spellStart"/>
      <w:r w:rsidRPr="00FC52F8">
        <w:rPr>
          <w:lang w:val="en-US"/>
        </w:rPr>
        <w:t>Kói</w:t>
      </w:r>
      <w:proofErr w:type="spellEnd"/>
      <w:r w:rsidRPr="00FC52F8">
        <w:rPr>
          <w:lang w:val="en-US"/>
        </w:rPr>
        <w:t xml:space="preserve">, </w:t>
      </w:r>
      <w:proofErr w:type="gramStart"/>
      <w:r w:rsidRPr="00FC52F8">
        <w:rPr>
          <w:lang w:val="en-US"/>
        </w:rPr>
        <w:t>Tamás ;</w:t>
      </w:r>
      <w:proofErr w:type="gramEnd"/>
      <w:r w:rsidRPr="00FC52F8">
        <w:rPr>
          <w:lang w:val="en-US"/>
        </w:rPr>
        <w:t xml:space="preserve"> Engh, Marie </w:t>
      </w:r>
      <w:proofErr w:type="gramStart"/>
      <w:r w:rsidRPr="00FC52F8">
        <w:rPr>
          <w:lang w:val="en-US"/>
        </w:rPr>
        <w:t>Anne ;</w:t>
      </w:r>
      <w:proofErr w:type="gramEnd"/>
      <w:r w:rsidRPr="00FC52F8">
        <w:rPr>
          <w:lang w:val="en-US"/>
        </w:rPr>
        <w:t xml:space="preserve"> Hegyi, </w:t>
      </w:r>
      <w:proofErr w:type="gramStart"/>
      <w:r w:rsidRPr="00FC52F8">
        <w:rPr>
          <w:lang w:val="en-US"/>
        </w:rPr>
        <w:t>Péter ;</w:t>
      </w:r>
      <w:proofErr w:type="gramEnd"/>
      <w:r w:rsidRPr="00FC52F8">
        <w:rPr>
          <w:lang w:val="en-US"/>
        </w:rPr>
        <w:t xml:space="preserve"> </w:t>
      </w:r>
      <w:proofErr w:type="spellStart"/>
      <w:r w:rsidRPr="00FC52F8">
        <w:rPr>
          <w:lang w:val="en-US"/>
        </w:rPr>
        <w:t>Csukly</w:t>
      </w:r>
      <w:proofErr w:type="spellEnd"/>
      <w:r w:rsidRPr="00FC52F8">
        <w:rPr>
          <w:lang w:val="en-US"/>
        </w:rPr>
        <w:t xml:space="preserve">, </w:t>
      </w:r>
      <w:proofErr w:type="gramStart"/>
      <w:r w:rsidRPr="00FC52F8">
        <w:rPr>
          <w:lang w:val="en-US"/>
        </w:rPr>
        <w:t>Gábor ;</w:t>
      </w:r>
      <w:proofErr w:type="gramEnd"/>
      <w:r w:rsidRPr="00FC52F8">
        <w:rPr>
          <w:lang w:val="en-US"/>
        </w:rPr>
        <w:t xml:space="preserve"> Ruszkai, </w:t>
      </w:r>
      <w:proofErr w:type="gramStart"/>
      <w:r w:rsidRPr="00FC52F8">
        <w:rPr>
          <w:lang w:val="en-US"/>
        </w:rPr>
        <w:t>Zoltán ;</w:t>
      </w:r>
      <w:proofErr w:type="gramEnd"/>
      <w:r w:rsidRPr="00FC52F8">
        <w:rPr>
          <w:lang w:val="en-US"/>
        </w:rPr>
        <w:t xml:space="preserve"> Molnár, Zsolt BIOMEDICINES 11: 11 Paper: 3068, 18 p. (2023) </w:t>
      </w:r>
      <w:r>
        <w:rPr>
          <w:lang w:val="en-US"/>
        </w:rPr>
        <w:br/>
      </w:r>
      <w:r w:rsidRPr="00FC52F8">
        <w:rPr>
          <w:lang w:val="en-US"/>
        </w:rPr>
        <w:t xml:space="preserve">IF: </w:t>
      </w:r>
      <w:r w:rsidR="00AC4E72">
        <w:rPr>
          <w:lang w:val="en-US"/>
        </w:rPr>
        <w:t>3.9</w:t>
      </w:r>
      <w:r w:rsidRPr="00FC52F8">
        <w:rPr>
          <w:lang w:val="en-US"/>
        </w:rPr>
        <w:t xml:space="preserve"> (202</w:t>
      </w:r>
      <w:r w:rsidR="00AC4E72">
        <w:rPr>
          <w:lang w:val="en-US"/>
        </w:rPr>
        <w:t>4</w:t>
      </w:r>
      <w:r w:rsidRPr="00FC52F8">
        <w:rPr>
          <w:lang w:val="en-US"/>
        </w:rPr>
        <w:t>)</w:t>
      </w:r>
    </w:p>
    <w:p w14:paraId="3D1656C1" w14:textId="77777777" w:rsidR="002431D4" w:rsidRDefault="002431D4" w:rsidP="00FC52F8">
      <w:pPr>
        <w:jc w:val="left"/>
        <w:rPr>
          <w:lang w:val="en-US"/>
        </w:rPr>
      </w:pPr>
    </w:p>
    <w:p w14:paraId="4986E61E" w14:textId="0D46FE00" w:rsidR="002431D4" w:rsidRPr="00D9680E" w:rsidRDefault="00D52430" w:rsidP="00FC52F8">
      <w:pPr>
        <w:jc w:val="left"/>
        <w:rPr>
          <w:i/>
          <w:iCs/>
          <w:lang w:val="en-US"/>
        </w:rPr>
      </w:pPr>
      <w:proofErr w:type="spellStart"/>
      <w:r w:rsidRPr="00D9680E">
        <w:rPr>
          <w:i/>
          <w:iCs/>
          <w:lang w:val="en-US"/>
        </w:rPr>
        <w:t>Individualised</w:t>
      </w:r>
      <w:proofErr w:type="spellEnd"/>
      <w:r w:rsidRPr="00D9680E">
        <w:rPr>
          <w:i/>
          <w:iCs/>
          <w:lang w:val="en-US"/>
        </w:rPr>
        <w:t xml:space="preserve"> Positive End-Expiratory Pressure Settings Reduce the Incidence of Postoperative Pulmonary Complications: A Systematic Review and Meta-Analysis</w:t>
      </w:r>
    </w:p>
    <w:p w14:paraId="6E0157D2" w14:textId="35623512" w:rsidR="00916E44" w:rsidRDefault="00D97661" w:rsidP="00FC52F8">
      <w:pPr>
        <w:jc w:val="left"/>
        <w:rPr>
          <w:lang w:val="en-US"/>
        </w:rPr>
      </w:pPr>
      <w:r w:rsidRPr="00D97661">
        <w:rPr>
          <w:lang w:val="en-US"/>
        </w:rPr>
        <w:t xml:space="preserve">Szigetváry Csenge, Szabó Gergő V., </w:t>
      </w:r>
      <w:proofErr w:type="spellStart"/>
      <w:r w:rsidRPr="00D97661">
        <w:rPr>
          <w:lang w:val="en-US"/>
        </w:rPr>
        <w:t>Dembrovszky</w:t>
      </w:r>
      <w:proofErr w:type="spellEnd"/>
      <w:r w:rsidRPr="00D97661">
        <w:rPr>
          <w:lang w:val="en-US"/>
        </w:rPr>
        <w:t xml:space="preserve"> Fanni, </w:t>
      </w:r>
      <w:proofErr w:type="spellStart"/>
      <w:r w:rsidRPr="00D97661">
        <w:rPr>
          <w:lang w:val="en-US"/>
        </w:rPr>
        <w:t>Ocskay</w:t>
      </w:r>
      <w:proofErr w:type="spellEnd"/>
      <w:r w:rsidRPr="00D97661">
        <w:rPr>
          <w:lang w:val="en-US"/>
        </w:rPr>
        <w:t xml:space="preserve"> Klementina, Engh Marie A., Turan Caner, Szabó László, Walter Anna, Kobeissi Fadl, </w:t>
      </w:r>
      <w:proofErr w:type="spellStart"/>
      <w:r w:rsidRPr="00D97661">
        <w:rPr>
          <w:lang w:val="en-US"/>
        </w:rPr>
        <w:t>Terebessy</w:t>
      </w:r>
      <w:proofErr w:type="spellEnd"/>
      <w:r w:rsidRPr="00D97661">
        <w:rPr>
          <w:lang w:val="en-US"/>
        </w:rPr>
        <w:t xml:space="preserve"> Tamás, Hegyi Péter, Ruszkai Zoltán, Molnár Zsolt</w:t>
      </w:r>
      <w:r w:rsidR="00D9680E">
        <w:rPr>
          <w:lang w:val="en-US"/>
        </w:rPr>
        <w:br/>
      </w:r>
      <w:r w:rsidR="00916E44" w:rsidRPr="00916E44">
        <w:rPr>
          <w:lang w:val="en-US"/>
        </w:rPr>
        <w:t xml:space="preserve">JOURNAL OF CLINICAL MEDICINE </w:t>
      </w:r>
      <w:proofErr w:type="gramStart"/>
      <w:r w:rsidR="00916E44" w:rsidRPr="00916E44">
        <w:rPr>
          <w:lang w:val="en-US"/>
        </w:rPr>
        <w:t>13 :</w:t>
      </w:r>
      <w:proofErr w:type="gramEnd"/>
      <w:r w:rsidR="00916E44" w:rsidRPr="00916E44">
        <w:rPr>
          <w:lang w:val="en-US"/>
        </w:rPr>
        <w:t xml:space="preserve"> 22 Paper: </w:t>
      </w:r>
      <w:proofErr w:type="gramStart"/>
      <w:r w:rsidR="00916E44" w:rsidRPr="00916E44">
        <w:rPr>
          <w:lang w:val="en-US"/>
        </w:rPr>
        <w:t>6776 ,</w:t>
      </w:r>
      <w:proofErr w:type="gramEnd"/>
      <w:r w:rsidR="00916E44" w:rsidRPr="00916E44">
        <w:rPr>
          <w:lang w:val="en-US"/>
        </w:rPr>
        <w:t xml:space="preserve"> 16 p. (2024)</w:t>
      </w:r>
      <w:r w:rsidR="00475913">
        <w:rPr>
          <w:lang w:val="en-US"/>
        </w:rPr>
        <w:br/>
      </w:r>
      <w:r w:rsidR="00916E44">
        <w:rPr>
          <w:lang w:val="en-US"/>
        </w:rPr>
        <w:t xml:space="preserve">IF: </w:t>
      </w:r>
      <w:r w:rsidR="00890D09">
        <w:rPr>
          <w:lang w:val="en-US"/>
        </w:rPr>
        <w:t>2.9</w:t>
      </w:r>
      <w:r w:rsidR="005D44E2">
        <w:rPr>
          <w:lang w:val="en-US"/>
        </w:rPr>
        <w:t xml:space="preserve"> (2024)</w:t>
      </w:r>
    </w:p>
    <w:p w14:paraId="533CA120" w14:textId="77777777" w:rsidR="00D97661" w:rsidRPr="00483D15" w:rsidRDefault="00D97661" w:rsidP="00FC52F8">
      <w:pPr>
        <w:jc w:val="left"/>
        <w:rPr>
          <w:lang w:val="en-US"/>
        </w:rPr>
      </w:pPr>
    </w:p>
    <w:p w14:paraId="05542044" w14:textId="77777777" w:rsidR="00B41FBB" w:rsidRPr="00483D15" w:rsidRDefault="00B41FBB" w:rsidP="0036711F">
      <w:pPr>
        <w:pStyle w:val="Heading2"/>
        <w:rPr>
          <w:lang w:val="en-US"/>
        </w:rPr>
      </w:pPr>
      <w:bookmarkStart w:id="112" w:name="_Toc211542240"/>
      <w:r w:rsidRPr="00483D15">
        <w:rPr>
          <w:lang w:val="en-US"/>
        </w:rPr>
        <w:t>16.2. Publications not related to the thesis</w:t>
      </w:r>
      <w:bookmarkEnd w:id="112"/>
    </w:p>
    <w:p w14:paraId="56849407" w14:textId="77777777" w:rsidR="002431D4" w:rsidRDefault="002431D4" w:rsidP="00314988">
      <w:pPr>
        <w:jc w:val="left"/>
        <w:rPr>
          <w:lang w:val="en-US"/>
        </w:rPr>
      </w:pPr>
      <w:proofErr w:type="spellStart"/>
      <w:r w:rsidRPr="00483D15">
        <w:rPr>
          <w:i/>
          <w:iCs/>
          <w:lang w:val="en-US"/>
        </w:rPr>
        <w:t>Hemoadsorption</w:t>
      </w:r>
      <w:proofErr w:type="spellEnd"/>
      <w:r w:rsidRPr="00483D15">
        <w:rPr>
          <w:i/>
          <w:iCs/>
          <w:lang w:val="en-US"/>
        </w:rPr>
        <w:t xml:space="preserve"> Therapy for Critically Ill Patients with Acute Liver Dysfunction: A </w:t>
      </w:r>
      <w:proofErr w:type="spellStart"/>
      <w:r w:rsidRPr="00483D15">
        <w:rPr>
          <w:i/>
          <w:iCs/>
          <w:lang w:val="en-US"/>
        </w:rPr>
        <w:t>MetaAnalysis</w:t>
      </w:r>
      <w:proofErr w:type="spellEnd"/>
      <w:r w:rsidRPr="00483D15">
        <w:rPr>
          <w:i/>
          <w:iCs/>
          <w:lang w:val="en-US"/>
        </w:rPr>
        <w:t xml:space="preserve"> and Systematic Review</w:t>
      </w:r>
    </w:p>
    <w:p w14:paraId="18558CCA" w14:textId="7C4DFA34" w:rsidR="00D95D66" w:rsidRPr="00483D15" w:rsidRDefault="00281C15" w:rsidP="00314988">
      <w:pPr>
        <w:jc w:val="left"/>
        <w:rPr>
          <w:lang w:val="en-US"/>
        </w:rPr>
      </w:pPr>
      <w:r w:rsidRPr="00483D15">
        <w:rPr>
          <w:lang w:val="en-US"/>
        </w:rPr>
        <w:t xml:space="preserve">Turan, </w:t>
      </w:r>
      <w:proofErr w:type="gramStart"/>
      <w:r w:rsidRPr="00483D15">
        <w:rPr>
          <w:lang w:val="en-US"/>
        </w:rPr>
        <w:t>Caner ;</w:t>
      </w:r>
      <w:proofErr w:type="gramEnd"/>
      <w:r w:rsidRPr="00483D15">
        <w:rPr>
          <w:lang w:val="en-US"/>
        </w:rPr>
        <w:t xml:space="preserve"> </w:t>
      </w:r>
      <w:r w:rsidRPr="002431D4">
        <w:rPr>
          <w:b/>
          <w:bCs/>
          <w:lang w:val="en-US"/>
        </w:rPr>
        <w:t xml:space="preserve">Szigetváry, Csenge </w:t>
      </w:r>
      <w:proofErr w:type="gramStart"/>
      <w:r w:rsidRPr="002431D4">
        <w:rPr>
          <w:b/>
          <w:bCs/>
          <w:lang w:val="en-US"/>
        </w:rPr>
        <w:t>E</w:t>
      </w:r>
      <w:r w:rsidRPr="00483D15">
        <w:rPr>
          <w:lang w:val="en-US"/>
        </w:rPr>
        <w:t>. ;</w:t>
      </w:r>
      <w:proofErr w:type="gramEnd"/>
      <w:r w:rsidRPr="00483D15">
        <w:rPr>
          <w:lang w:val="en-US"/>
        </w:rPr>
        <w:t xml:space="preserve"> </w:t>
      </w:r>
      <w:proofErr w:type="spellStart"/>
      <w:r w:rsidRPr="00483D15">
        <w:rPr>
          <w:lang w:val="en-US"/>
        </w:rPr>
        <w:t>Kói</w:t>
      </w:r>
      <w:proofErr w:type="spellEnd"/>
      <w:r w:rsidRPr="00483D15">
        <w:rPr>
          <w:lang w:val="en-US"/>
        </w:rPr>
        <w:t xml:space="preserve">, </w:t>
      </w:r>
      <w:proofErr w:type="gramStart"/>
      <w:r w:rsidRPr="00483D15">
        <w:rPr>
          <w:lang w:val="en-US"/>
        </w:rPr>
        <w:t>Tamás ;</w:t>
      </w:r>
      <w:proofErr w:type="gramEnd"/>
      <w:r w:rsidRPr="00483D15">
        <w:rPr>
          <w:lang w:val="en-US"/>
        </w:rPr>
        <w:t xml:space="preserve"> Engh, Marie </w:t>
      </w:r>
      <w:proofErr w:type="gramStart"/>
      <w:r w:rsidRPr="00483D15">
        <w:rPr>
          <w:lang w:val="en-US"/>
        </w:rPr>
        <w:t>A. ;</w:t>
      </w:r>
      <w:proofErr w:type="gramEnd"/>
      <w:r w:rsidRPr="00483D15">
        <w:rPr>
          <w:lang w:val="en-US"/>
        </w:rPr>
        <w:t xml:space="preserve"> Atakan, </w:t>
      </w:r>
      <w:proofErr w:type="gramStart"/>
      <w:r w:rsidRPr="00483D15">
        <w:rPr>
          <w:lang w:val="en-US"/>
        </w:rPr>
        <w:t>Işıl ;</w:t>
      </w:r>
      <w:proofErr w:type="gramEnd"/>
      <w:r w:rsidRPr="00483D15">
        <w:rPr>
          <w:lang w:val="en-US"/>
        </w:rPr>
        <w:t xml:space="preserve"> Zubek, </w:t>
      </w:r>
      <w:proofErr w:type="gramStart"/>
      <w:r w:rsidRPr="00483D15">
        <w:rPr>
          <w:lang w:val="en-US"/>
        </w:rPr>
        <w:t>László ;</w:t>
      </w:r>
      <w:proofErr w:type="gramEnd"/>
      <w:r w:rsidRPr="00483D15">
        <w:rPr>
          <w:lang w:val="en-US"/>
        </w:rPr>
        <w:t xml:space="preserve"> Terebessy, </w:t>
      </w:r>
      <w:proofErr w:type="gramStart"/>
      <w:r w:rsidRPr="00483D15">
        <w:rPr>
          <w:lang w:val="en-US"/>
        </w:rPr>
        <w:t>Tamás ;</w:t>
      </w:r>
      <w:proofErr w:type="gramEnd"/>
      <w:r w:rsidRPr="00483D15">
        <w:rPr>
          <w:lang w:val="en-US"/>
        </w:rPr>
        <w:t xml:space="preserve"> Hegyi, </w:t>
      </w:r>
      <w:proofErr w:type="gramStart"/>
      <w:r w:rsidRPr="00483D15">
        <w:rPr>
          <w:lang w:val="en-US"/>
        </w:rPr>
        <w:t>Péter ;</w:t>
      </w:r>
      <w:proofErr w:type="gramEnd"/>
      <w:r w:rsidRPr="00483D15">
        <w:rPr>
          <w:lang w:val="en-US"/>
        </w:rPr>
        <w:t xml:space="preserve"> Molnár, Zsolt: </w:t>
      </w:r>
    </w:p>
    <w:p w14:paraId="462D9899" w14:textId="0F77EBD2" w:rsidR="00D95D66" w:rsidRDefault="00D95D66" w:rsidP="00314988">
      <w:pPr>
        <w:jc w:val="left"/>
        <w:rPr>
          <w:lang w:val="en-US"/>
        </w:rPr>
      </w:pPr>
      <w:r w:rsidRPr="00483D15">
        <w:rPr>
          <w:lang w:val="en-US"/>
        </w:rPr>
        <w:t xml:space="preserve">BIOMEDICINES 12: 1 Paper: 67, 16 p. (2024) </w:t>
      </w:r>
      <w:r w:rsidR="00314988">
        <w:rPr>
          <w:lang w:val="en-US"/>
        </w:rPr>
        <w:br/>
      </w:r>
      <w:r w:rsidRPr="00483D15">
        <w:rPr>
          <w:lang w:val="en-US"/>
        </w:rPr>
        <w:t xml:space="preserve">IF: </w:t>
      </w:r>
      <w:r w:rsidR="005D44E2">
        <w:rPr>
          <w:lang w:val="en-US"/>
        </w:rPr>
        <w:t>3.9</w:t>
      </w:r>
      <w:r w:rsidRPr="00483D15">
        <w:rPr>
          <w:lang w:val="en-US"/>
        </w:rPr>
        <w:t xml:space="preserve"> (202</w:t>
      </w:r>
      <w:r w:rsidR="005D44E2">
        <w:rPr>
          <w:lang w:val="en-US"/>
        </w:rPr>
        <w:t>4</w:t>
      </w:r>
      <w:r w:rsidRPr="00483D15">
        <w:rPr>
          <w:lang w:val="en-US"/>
        </w:rPr>
        <w:t>)</w:t>
      </w:r>
    </w:p>
    <w:p w14:paraId="396972D9" w14:textId="77777777" w:rsidR="00673A77" w:rsidRDefault="00673A77" w:rsidP="009E6127">
      <w:pPr>
        <w:spacing w:after="480"/>
        <w:jc w:val="left"/>
        <w:rPr>
          <w:lang w:val="en-US"/>
        </w:rPr>
      </w:pPr>
    </w:p>
    <w:p w14:paraId="0FB470F7" w14:textId="77777777" w:rsidR="009E6127" w:rsidRPr="00483D15" w:rsidRDefault="009E6127" w:rsidP="009E6127">
      <w:pPr>
        <w:spacing w:after="480"/>
        <w:jc w:val="left"/>
        <w:rPr>
          <w:lang w:val="en-US"/>
        </w:rPr>
      </w:pPr>
    </w:p>
    <w:p w14:paraId="30C5C5D6" w14:textId="4AC62E39" w:rsidR="002722E0" w:rsidRDefault="002722E0" w:rsidP="00673A77">
      <w:pPr>
        <w:jc w:val="left"/>
        <w:rPr>
          <w:i/>
          <w:iCs/>
          <w:lang w:val="en-US"/>
        </w:rPr>
      </w:pPr>
      <w:r w:rsidRPr="002722E0">
        <w:rPr>
          <w:i/>
          <w:iCs/>
          <w:lang w:val="en-US"/>
        </w:rPr>
        <w:lastRenderedPageBreak/>
        <w:t>Point-of-care ultrasound improves clinical outcomes in patients with acute onset dyspnea: a systematic review and meta-analysis</w:t>
      </w:r>
    </w:p>
    <w:p w14:paraId="0E8D33CA" w14:textId="0E5FB9B0" w:rsidR="00487DB2" w:rsidRDefault="00487DB2" w:rsidP="00673A77">
      <w:pPr>
        <w:jc w:val="left"/>
        <w:rPr>
          <w:i/>
          <w:iCs/>
          <w:lang w:val="en-US"/>
        </w:rPr>
      </w:pPr>
      <w:r w:rsidRPr="00487DB2">
        <w:rPr>
          <w:i/>
          <w:iCs/>
          <w:lang w:val="en-US"/>
        </w:rPr>
        <w:t>Szabó</w:t>
      </w:r>
      <w:r>
        <w:rPr>
          <w:i/>
          <w:iCs/>
          <w:lang w:val="en-US"/>
        </w:rPr>
        <w:t>,</w:t>
      </w:r>
      <w:r w:rsidRPr="00487DB2">
        <w:rPr>
          <w:i/>
          <w:iCs/>
          <w:lang w:val="en-US"/>
        </w:rPr>
        <w:t xml:space="preserve"> Gergő Vilmos</w:t>
      </w:r>
      <w:r w:rsidRPr="00487DB2">
        <w:rPr>
          <w:b/>
          <w:bCs/>
          <w:i/>
          <w:iCs/>
          <w:lang w:val="en-US"/>
        </w:rPr>
        <w:t>, Szigetváry, Csenge</w:t>
      </w:r>
      <w:r w:rsidRPr="00487DB2">
        <w:rPr>
          <w:i/>
          <w:iCs/>
          <w:lang w:val="en-US"/>
        </w:rPr>
        <w:t xml:space="preserve">, Szabó László, Dembrovszky Fanni, Rottler Máté, </w:t>
      </w:r>
      <w:proofErr w:type="spellStart"/>
      <w:r w:rsidRPr="00487DB2">
        <w:rPr>
          <w:i/>
          <w:iCs/>
          <w:lang w:val="en-US"/>
        </w:rPr>
        <w:t>Ocskay</w:t>
      </w:r>
      <w:proofErr w:type="spellEnd"/>
      <w:r w:rsidRPr="00487DB2">
        <w:rPr>
          <w:i/>
          <w:iCs/>
          <w:lang w:val="en-US"/>
        </w:rPr>
        <w:t xml:space="preserve"> </w:t>
      </w:r>
      <w:proofErr w:type="spellStart"/>
      <w:r w:rsidRPr="00487DB2">
        <w:rPr>
          <w:i/>
          <w:iCs/>
          <w:lang w:val="en-US"/>
        </w:rPr>
        <w:t>Klemetina</w:t>
      </w:r>
      <w:proofErr w:type="spellEnd"/>
      <w:r w:rsidRPr="00487DB2">
        <w:rPr>
          <w:i/>
          <w:iCs/>
          <w:lang w:val="en-US"/>
        </w:rPr>
        <w:t xml:space="preserve">, </w:t>
      </w:r>
      <w:proofErr w:type="spellStart"/>
      <w:r w:rsidRPr="00487DB2">
        <w:rPr>
          <w:i/>
          <w:iCs/>
          <w:lang w:val="en-US"/>
        </w:rPr>
        <w:t>Madzsar</w:t>
      </w:r>
      <w:proofErr w:type="spellEnd"/>
      <w:r w:rsidRPr="00487DB2">
        <w:rPr>
          <w:i/>
          <w:iCs/>
          <w:lang w:val="en-US"/>
        </w:rPr>
        <w:t xml:space="preserve"> Stefanie, Hegyi Péter, Molnár Zsolt</w:t>
      </w:r>
    </w:p>
    <w:p w14:paraId="2782676A" w14:textId="1962429F" w:rsidR="00E557D9" w:rsidRDefault="00E557D9" w:rsidP="00673A77">
      <w:pPr>
        <w:jc w:val="left"/>
        <w:rPr>
          <w:i/>
          <w:iCs/>
          <w:lang w:val="en-US"/>
        </w:rPr>
      </w:pPr>
      <w:r w:rsidRPr="00E557D9">
        <w:rPr>
          <w:i/>
          <w:iCs/>
          <w:lang w:val="en-US"/>
        </w:rPr>
        <w:t xml:space="preserve">INTERNAL AND EMERGENCY MEDICINE </w:t>
      </w:r>
      <w:proofErr w:type="gramStart"/>
      <w:r w:rsidRPr="00E557D9">
        <w:rPr>
          <w:i/>
          <w:iCs/>
          <w:lang w:val="en-US"/>
        </w:rPr>
        <w:t>18 :</w:t>
      </w:r>
      <w:proofErr w:type="gramEnd"/>
      <w:r w:rsidRPr="00E557D9">
        <w:rPr>
          <w:i/>
          <w:iCs/>
          <w:lang w:val="en-US"/>
        </w:rPr>
        <w:t xml:space="preserve"> 2 pp. 639-653</w:t>
      </w:r>
      <w:proofErr w:type="gramStart"/>
      <w:r w:rsidRPr="00E557D9">
        <w:rPr>
          <w:i/>
          <w:iCs/>
          <w:lang w:val="en-US"/>
        </w:rPr>
        <w:t>. ,</w:t>
      </w:r>
      <w:proofErr w:type="gramEnd"/>
      <w:r w:rsidRPr="00E557D9">
        <w:rPr>
          <w:i/>
          <w:iCs/>
          <w:lang w:val="en-US"/>
        </w:rPr>
        <w:t xml:space="preserve"> 15 p. (2023)</w:t>
      </w:r>
      <w:r>
        <w:rPr>
          <w:i/>
          <w:iCs/>
          <w:lang w:val="en-US"/>
        </w:rPr>
        <w:br/>
        <w:t>IF:</w:t>
      </w:r>
      <w:r w:rsidR="006A7A56">
        <w:rPr>
          <w:i/>
          <w:iCs/>
          <w:lang w:val="en-US"/>
        </w:rPr>
        <w:t xml:space="preserve"> 3.8</w:t>
      </w:r>
      <w:r>
        <w:rPr>
          <w:i/>
          <w:iCs/>
          <w:lang w:val="en-US"/>
        </w:rPr>
        <w:t xml:space="preserve"> (</w:t>
      </w:r>
      <w:r w:rsidR="006A7A56">
        <w:rPr>
          <w:i/>
          <w:iCs/>
          <w:lang w:val="en-US"/>
        </w:rPr>
        <w:t>2024</w:t>
      </w:r>
      <w:r>
        <w:rPr>
          <w:i/>
          <w:iCs/>
          <w:lang w:val="en-US"/>
        </w:rPr>
        <w:t>)</w:t>
      </w:r>
    </w:p>
    <w:p w14:paraId="6DAA9653" w14:textId="77777777" w:rsidR="002722E0" w:rsidRDefault="002722E0" w:rsidP="00673A77">
      <w:pPr>
        <w:jc w:val="left"/>
        <w:rPr>
          <w:i/>
          <w:iCs/>
          <w:lang w:val="en-US"/>
        </w:rPr>
      </w:pPr>
    </w:p>
    <w:p w14:paraId="776685DD" w14:textId="2E4379F6" w:rsidR="00673A77" w:rsidRPr="00D1288B" w:rsidRDefault="00673A77" w:rsidP="00673A77">
      <w:pPr>
        <w:jc w:val="left"/>
        <w:rPr>
          <w:i/>
          <w:iCs/>
          <w:lang w:val="en-US"/>
        </w:rPr>
      </w:pPr>
      <w:r w:rsidRPr="00D1288B">
        <w:rPr>
          <w:i/>
          <w:iCs/>
          <w:lang w:val="en-US"/>
        </w:rPr>
        <w:t>Fluid resuscitation with balanced electrolyte solutions results in faster resolution of diabetic ketoacidosis than with 0.9% saline in adults – A systematic review and meta-analysis</w:t>
      </w:r>
    </w:p>
    <w:p w14:paraId="5CE00AA2" w14:textId="777F3B5F" w:rsidR="00D02256" w:rsidRPr="00483D15" w:rsidRDefault="00673A77" w:rsidP="00673A77">
      <w:pPr>
        <w:jc w:val="left"/>
        <w:rPr>
          <w:lang w:val="en-US"/>
        </w:rPr>
      </w:pPr>
      <w:r w:rsidRPr="00673A77">
        <w:rPr>
          <w:lang w:val="en-US"/>
        </w:rPr>
        <w:t xml:space="preserve">Szabó, Gergő </w:t>
      </w:r>
      <w:proofErr w:type="gramStart"/>
      <w:r w:rsidRPr="00673A77">
        <w:rPr>
          <w:lang w:val="en-US"/>
        </w:rPr>
        <w:t>Vilmos ;</w:t>
      </w:r>
      <w:proofErr w:type="gramEnd"/>
      <w:r w:rsidRPr="00673A77">
        <w:rPr>
          <w:lang w:val="en-US"/>
        </w:rPr>
        <w:t xml:space="preserve"> </w:t>
      </w:r>
      <w:r w:rsidRPr="00487DB2">
        <w:rPr>
          <w:b/>
          <w:bCs/>
          <w:lang w:val="en-US"/>
        </w:rPr>
        <w:t xml:space="preserve">Szigetváry, </w:t>
      </w:r>
      <w:proofErr w:type="gramStart"/>
      <w:r w:rsidRPr="00487DB2">
        <w:rPr>
          <w:b/>
          <w:bCs/>
          <w:lang w:val="en-US"/>
        </w:rPr>
        <w:t xml:space="preserve">Csenge </w:t>
      </w:r>
      <w:r w:rsidRPr="00673A77">
        <w:rPr>
          <w:lang w:val="en-US"/>
        </w:rPr>
        <w:t>;</w:t>
      </w:r>
      <w:proofErr w:type="gramEnd"/>
      <w:r w:rsidRPr="00673A77">
        <w:rPr>
          <w:lang w:val="en-US"/>
        </w:rPr>
        <w:t xml:space="preserve"> Turan, </w:t>
      </w:r>
      <w:proofErr w:type="gramStart"/>
      <w:r w:rsidRPr="00673A77">
        <w:rPr>
          <w:lang w:val="en-US"/>
        </w:rPr>
        <w:t>Caner ;</w:t>
      </w:r>
      <w:proofErr w:type="gramEnd"/>
      <w:r w:rsidRPr="00673A77">
        <w:rPr>
          <w:lang w:val="en-US"/>
        </w:rPr>
        <w:t xml:space="preserve"> Engh, Marie </w:t>
      </w:r>
      <w:proofErr w:type="gramStart"/>
      <w:r w:rsidRPr="00673A77">
        <w:rPr>
          <w:lang w:val="en-US"/>
        </w:rPr>
        <w:t>Anne ;</w:t>
      </w:r>
      <w:proofErr w:type="gramEnd"/>
      <w:r w:rsidRPr="00673A77">
        <w:rPr>
          <w:lang w:val="en-US"/>
        </w:rPr>
        <w:t xml:space="preserve"> Farkas, </w:t>
      </w:r>
      <w:proofErr w:type="gramStart"/>
      <w:r w:rsidRPr="00673A77">
        <w:rPr>
          <w:lang w:val="en-US"/>
        </w:rPr>
        <w:t>Nelli ;</w:t>
      </w:r>
      <w:proofErr w:type="gramEnd"/>
      <w:r w:rsidRPr="00673A77">
        <w:rPr>
          <w:lang w:val="en-US"/>
        </w:rPr>
        <w:t xml:space="preserve"> Fazekas, </w:t>
      </w:r>
      <w:proofErr w:type="gramStart"/>
      <w:r w:rsidRPr="00673A77">
        <w:rPr>
          <w:lang w:val="en-US"/>
        </w:rPr>
        <w:t>Alíz ;</w:t>
      </w:r>
      <w:proofErr w:type="gramEnd"/>
      <w:r w:rsidRPr="00673A77">
        <w:rPr>
          <w:lang w:val="en-US"/>
        </w:rPr>
        <w:t xml:space="preserve"> </w:t>
      </w:r>
      <w:proofErr w:type="spellStart"/>
      <w:r w:rsidRPr="00673A77">
        <w:rPr>
          <w:lang w:val="en-US"/>
        </w:rPr>
        <w:t>Terebessy</w:t>
      </w:r>
      <w:proofErr w:type="spellEnd"/>
      <w:r w:rsidRPr="00673A77">
        <w:rPr>
          <w:lang w:val="en-US"/>
        </w:rPr>
        <w:t xml:space="preserve">, </w:t>
      </w:r>
      <w:proofErr w:type="gramStart"/>
      <w:r w:rsidRPr="00673A77">
        <w:rPr>
          <w:lang w:val="en-US"/>
        </w:rPr>
        <w:t>Tamás ;</w:t>
      </w:r>
      <w:proofErr w:type="gramEnd"/>
      <w:r w:rsidRPr="00673A77">
        <w:rPr>
          <w:lang w:val="en-US"/>
        </w:rPr>
        <w:t xml:space="preserve"> Hegyi, </w:t>
      </w:r>
      <w:proofErr w:type="gramStart"/>
      <w:r w:rsidRPr="00673A77">
        <w:rPr>
          <w:lang w:val="en-US"/>
        </w:rPr>
        <w:t>Péter ;</w:t>
      </w:r>
      <w:proofErr w:type="gramEnd"/>
      <w:r w:rsidRPr="00673A77">
        <w:rPr>
          <w:lang w:val="en-US"/>
        </w:rPr>
        <w:t xml:space="preserve"> Molnár, Zsolt DIABETES/METABOLISM RESEARCH AND REVIEWS, 2024 Jul;40(5</w:t>
      </w:r>
      <w:proofErr w:type="gramStart"/>
      <w:r w:rsidRPr="00673A77">
        <w:rPr>
          <w:lang w:val="en-US"/>
        </w:rPr>
        <w:t>):e</w:t>
      </w:r>
      <w:proofErr w:type="gramEnd"/>
      <w:r w:rsidRPr="00673A77">
        <w:rPr>
          <w:lang w:val="en-US"/>
        </w:rPr>
        <w:t xml:space="preserve">3831 </w:t>
      </w:r>
      <w:r>
        <w:rPr>
          <w:lang w:val="en-US"/>
        </w:rPr>
        <w:br/>
      </w:r>
      <w:r w:rsidRPr="00673A77">
        <w:rPr>
          <w:lang w:val="en-US"/>
        </w:rPr>
        <w:t xml:space="preserve">IF: </w:t>
      </w:r>
      <w:r w:rsidR="006264EF">
        <w:rPr>
          <w:lang w:val="en-US"/>
        </w:rPr>
        <w:t>6.0</w:t>
      </w:r>
      <w:r w:rsidRPr="00673A77">
        <w:rPr>
          <w:lang w:val="en-US"/>
        </w:rPr>
        <w:t xml:space="preserve"> (202</w:t>
      </w:r>
      <w:r w:rsidR="006264EF">
        <w:rPr>
          <w:lang w:val="en-US"/>
        </w:rPr>
        <w:t>4</w:t>
      </w:r>
      <w:r w:rsidRPr="00673A77">
        <w:rPr>
          <w:lang w:val="en-US"/>
        </w:rPr>
        <w:t>)</w:t>
      </w:r>
    </w:p>
    <w:p w14:paraId="053DA56F" w14:textId="77777777" w:rsidR="009D62C6" w:rsidRPr="00483D15" w:rsidRDefault="009D62C6" w:rsidP="0036711F">
      <w:pPr>
        <w:rPr>
          <w:rFonts w:eastAsiaTheme="majorEastAsia" w:cstheme="majorBidi"/>
          <w:b/>
          <w:szCs w:val="40"/>
          <w:lang w:val="en-US"/>
        </w:rPr>
      </w:pPr>
      <w:r w:rsidRPr="00483D15">
        <w:rPr>
          <w:lang w:val="en-US"/>
        </w:rPr>
        <w:br w:type="page"/>
      </w:r>
    </w:p>
    <w:p w14:paraId="1253F28F" w14:textId="296AE771" w:rsidR="00B41FBB" w:rsidRPr="00483D15" w:rsidRDefault="00B41FBB" w:rsidP="0036711F">
      <w:pPr>
        <w:pStyle w:val="Heading1"/>
        <w:rPr>
          <w:lang w:val="en-US"/>
        </w:rPr>
      </w:pPr>
      <w:bookmarkStart w:id="113" w:name="_Toc211542241"/>
      <w:r w:rsidRPr="00483D15">
        <w:rPr>
          <w:lang w:val="en-US"/>
        </w:rPr>
        <w:lastRenderedPageBreak/>
        <w:t>17. ACKNOWLEDGEMENTS</w:t>
      </w:r>
      <w:bookmarkEnd w:id="113"/>
    </w:p>
    <w:p w14:paraId="092211F1" w14:textId="753BB2BD" w:rsidR="00B41FBB" w:rsidRPr="003147AA" w:rsidRDefault="00A75D9F" w:rsidP="003147AA">
      <w:pPr>
        <w:rPr>
          <w:rFonts w:eastAsiaTheme="majorEastAsia" w:cstheme="majorBidi"/>
          <w:b/>
          <w:szCs w:val="40"/>
          <w:lang w:val="en-US"/>
        </w:rPr>
      </w:pPr>
      <w:r w:rsidRPr="00A75D9F">
        <w:t xml:space="preserve">I </w:t>
      </w:r>
      <w:proofErr w:type="spellStart"/>
      <w:r w:rsidRPr="00A75D9F">
        <w:t>would</w:t>
      </w:r>
      <w:proofErr w:type="spellEnd"/>
      <w:r w:rsidRPr="00A75D9F">
        <w:t xml:space="preserve"> like </w:t>
      </w:r>
      <w:proofErr w:type="spellStart"/>
      <w:r w:rsidRPr="00A75D9F">
        <w:t>to</w:t>
      </w:r>
      <w:proofErr w:type="spellEnd"/>
      <w:r w:rsidRPr="00A75D9F">
        <w:t xml:space="preserve"> </w:t>
      </w:r>
      <w:proofErr w:type="spellStart"/>
      <w:r w:rsidRPr="00A75D9F">
        <w:t>express</w:t>
      </w:r>
      <w:proofErr w:type="spellEnd"/>
      <w:r w:rsidRPr="00A75D9F">
        <w:t xml:space="preserve"> </w:t>
      </w:r>
      <w:proofErr w:type="spellStart"/>
      <w:r w:rsidRPr="00A75D9F">
        <w:t>my</w:t>
      </w:r>
      <w:proofErr w:type="spellEnd"/>
      <w:r w:rsidRPr="00A75D9F">
        <w:t xml:space="preserve"> </w:t>
      </w:r>
      <w:proofErr w:type="spellStart"/>
      <w:r w:rsidRPr="00A75D9F">
        <w:t>heartfelt</w:t>
      </w:r>
      <w:proofErr w:type="spellEnd"/>
      <w:r w:rsidRPr="00A75D9F">
        <w:t xml:space="preserve"> </w:t>
      </w:r>
      <w:proofErr w:type="spellStart"/>
      <w:r w:rsidRPr="00A75D9F">
        <w:t>thanks</w:t>
      </w:r>
      <w:proofErr w:type="spellEnd"/>
      <w:r w:rsidRPr="00A75D9F">
        <w:t xml:space="preserve"> </w:t>
      </w:r>
      <w:proofErr w:type="spellStart"/>
      <w:r w:rsidRPr="00A75D9F">
        <w:t>to</w:t>
      </w:r>
      <w:proofErr w:type="spellEnd"/>
      <w:r w:rsidRPr="00A75D9F">
        <w:t xml:space="preserve"> </w:t>
      </w:r>
      <w:proofErr w:type="spellStart"/>
      <w:r w:rsidRPr="00A75D9F">
        <w:t>my</w:t>
      </w:r>
      <w:proofErr w:type="spellEnd"/>
      <w:r w:rsidRPr="00A75D9F">
        <w:t xml:space="preserve"> </w:t>
      </w:r>
      <w:proofErr w:type="spellStart"/>
      <w:r w:rsidRPr="00A75D9F">
        <w:t>fellow</w:t>
      </w:r>
      <w:proofErr w:type="spellEnd"/>
      <w:r w:rsidRPr="00A75D9F">
        <w:t xml:space="preserve"> PhD </w:t>
      </w:r>
      <w:proofErr w:type="spellStart"/>
      <w:r w:rsidRPr="00A75D9F">
        <w:t>candidates</w:t>
      </w:r>
      <w:proofErr w:type="spellEnd"/>
      <w:r w:rsidRPr="00A75D9F">
        <w:t xml:space="preserve">, </w:t>
      </w:r>
      <w:proofErr w:type="spellStart"/>
      <w:r w:rsidRPr="00A75D9F">
        <w:t>who</w:t>
      </w:r>
      <w:proofErr w:type="spellEnd"/>
      <w:r w:rsidRPr="00A75D9F">
        <w:t xml:space="preserve"> </w:t>
      </w:r>
      <w:proofErr w:type="spellStart"/>
      <w:r w:rsidRPr="00A75D9F">
        <w:t>became</w:t>
      </w:r>
      <w:proofErr w:type="spellEnd"/>
      <w:r w:rsidRPr="00A75D9F">
        <w:t xml:space="preserve"> </w:t>
      </w:r>
      <w:proofErr w:type="spellStart"/>
      <w:r w:rsidRPr="00A75D9F">
        <w:t>true</w:t>
      </w:r>
      <w:proofErr w:type="spellEnd"/>
      <w:r w:rsidRPr="00A75D9F">
        <w:t xml:space="preserve"> </w:t>
      </w:r>
      <w:proofErr w:type="spellStart"/>
      <w:r w:rsidRPr="00A75D9F">
        <w:t>friends</w:t>
      </w:r>
      <w:proofErr w:type="spellEnd"/>
      <w:r w:rsidRPr="00A75D9F">
        <w:t xml:space="preserve"> </w:t>
      </w:r>
      <w:proofErr w:type="spellStart"/>
      <w:r w:rsidRPr="00A75D9F">
        <w:t>during</w:t>
      </w:r>
      <w:proofErr w:type="spellEnd"/>
      <w:r w:rsidRPr="00A75D9F">
        <w:t xml:space="preserve"> </w:t>
      </w:r>
      <w:proofErr w:type="spellStart"/>
      <w:r w:rsidRPr="00A75D9F">
        <w:t>this</w:t>
      </w:r>
      <w:proofErr w:type="spellEnd"/>
      <w:r w:rsidRPr="00A75D9F">
        <w:t xml:space="preserve"> </w:t>
      </w:r>
      <w:proofErr w:type="spellStart"/>
      <w:r w:rsidRPr="00A75D9F">
        <w:t>journey</w:t>
      </w:r>
      <w:proofErr w:type="spellEnd"/>
      <w:r w:rsidRPr="00A75D9F">
        <w:t xml:space="preserve">. </w:t>
      </w:r>
      <w:proofErr w:type="spellStart"/>
      <w:r w:rsidR="00C51013">
        <w:t>Their</w:t>
      </w:r>
      <w:proofErr w:type="spellEnd"/>
      <w:r w:rsidRPr="00A75D9F">
        <w:t xml:space="preserve"> </w:t>
      </w:r>
      <w:proofErr w:type="spellStart"/>
      <w:r w:rsidRPr="00A75D9F">
        <w:t>support</w:t>
      </w:r>
      <w:proofErr w:type="spellEnd"/>
      <w:r w:rsidRPr="00A75D9F">
        <w:t xml:space="preserve"> and</w:t>
      </w:r>
      <w:r w:rsidR="00C51013">
        <w:t xml:space="preserve"> </w:t>
      </w:r>
      <w:proofErr w:type="spellStart"/>
      <w:r w:rsidR="00C51013">
        <w:t>our</w:t>
      </w:r>
      <w:proofErr w:type="spellEnd"/>
      <w:r w:rsidRPr="00A75D9F">
        <w:t xml:space="preserve"> </w:t>
      </w:r>
      <w:proofErr w:type="spellStart"/>
      <w:r w:rsidRPr="00A75D9F">
        <w:t>shared</w:t>
      </w:r>
      <w:proofErr w:type="spellEnd"/>
      <w:r w:rsidRPr="00A75D9F">
        <w:t xml:space="preserve"> </w:t>
      </w:r>
      <w:proofErr w:type="spellStart"/>
      <w:r w:rsidRPr="00A75D9F">
        <w:t>experiences</w:t>
      </w:r>
      <w:proofErr w:type="spellEnd"/>
      <w:r w:rsidRPr="00A75D9F">
        <w:t xml:space="preserve"> </w:t>
      </w:r>
      <w:proofErr w:type="spellStart"/>
      <w:r w:rsidRPr="00A75D9F">
        <w:t>helped</w:t>
      </w:r>
      <w:proofErr w:type="spellEnd"/>
      <w:r w:rsidRPr="00A75D9F">
        <w:t xml:space="preserve"> </w:t>
      </w:r>
      <w:proofErr w:type="spellStart"/>
      <w:r w:rsidRPr="00A75D9F">
        <w:t>me</w:t>
      </w:r>
      <w:proofErr w:type="spellEnd"/>
      <w:r w:rsidRPr="00A75D9F">
        <w:t xml:space="preserve"> </w:t>
      </w:r>
      <w:proofErr w:type="spellStart"/>
      <w:r w:rsidRPr="00A75D9F">
        <w:t>through</w:t>
      </w:r>
      <w:proofErr w:type="spellEnd"/>
      <w:r w:rsidRPr="00A75D9F">
        <w:t xml:space="preserve"> </w:t>
      </w:r>
      <w:proofErr w:type="spellStart"/>
      <w:r w:rsidRPr="00A75D9F">
        <w:t>both</w:t>
      </w:r>
      <w:proofErr w:type="spellEnd"/>
      <w:r w:rsidRPr="00A75D9F">
        <w:t xml:space="preserve"> </w:t>
      </w:r>
      <w:proofErr w:type="spellStart"/>
      <w:r w:rsidRPr="00A75D9F">
        <w:t>the</w:t>
      </w:r>
      <w:proofErr w:type="spellEnd"/>
      <w:r w:rsidRPr="00A75D9F">
        <w:t xml:space="preserve"> </w:t>
      </w:r>
      <w:proofErr w:type="spellStart"/>
      <w:r w:rsidRPr="00A75D9F">
        <w:t>challenges</w:t>
      </w:r>
      <w:proofErr w:type="spellEnd"/>
      <w:r w:rsidRPr="00A75D9F">
        <w:t xml:space="preserve"> and </w:t>
      </w:r>
      <w:proofErr w:type="spellStart"/>
      <w:r w:rsidRPr="00A75D9F">
        <w:t>the</w:t>
      </w:r>
      <w:proofErr w:type="spellEnd"/>
      <w:r w:rsidRPr="00A75D9F">
        <w:t xml:space="preserve"> </w:t>
      </w:r>
      <w:proofErr w:type="spellStart"/>
      <w:r w:rsidRPr="00A75D9F">
        <w:t>successes</w:t>
      </w:r>
      <w:proofErr w:type="spellEnd"/>
      <w:r w:rsidRPr="00A75D9F">
        <w:t>.</w:t>
      </w:r>
      <w:r w:rsidR="00230A97">
        <w:t xml:space="preserve"> </w:t>
      </w:r>
      <w:r w:rsidRPr="00A75D9F">
        <w:t xml:space="preserve">I am </w:t>
      </w:r>
      <w:proofErr w:type="spellStart"/>
      <w:r w:rsidRPr="00A75D9F">
        <w:t>sincerely</w:t>
      </w:r>
      <w:proofErr w:type="spellEnd"/>
      <w:r w:rsidRPr="00A75D9F">
        <w:t xml:space="preserve"> </w:t>
      </w:r>
      <w:proofErr w:type="spellStart"/>
      <w:r w:rsidRPr="00A75D9F">
        <w:t>grateful</w:t>
      </w:r>
      <w:proofErr w:type="spellEnd"/>
      <w:r w:rsidRPr="00A75D9F">
        <w:t xml:space="preserve"> </w:t>
      </w:r>
      <w:proofErr w:type="spellStart"/>
      <w:r w:rsidRPr="00A75D9F">
        <w:t>to</w:t>
      </w:r>
      <w:proofErr w:type="spellEnd"/>
      <w:r w:rsidRPr="00A75D9F">
        <w:t xml:space="preserve"> </w:t>
      </w:r>
      <w:proofErr w:type="spellStart"/>
      <w:r w:rsidRPr="00A75D9F">
        <w:t>my</w:t>
      </w:r>
      <w:proofErr w:type="spellEnd"/>
      <w:r w:rsidRPr="00A75D9F">
        <w:t xml:space="preserve"> mentor, Zoltán </w:t>
      </w:r>
      <w:proofErr w:type="spellStart"/>
      <w:r w:rsidRPr="00A75D9F">
        <w:t>Ruszkai</w:t>
      </w:r>
      <w:proofErr w:type="spellEnd"/>
      <w:r w:rsidRPr="00A75D9F">
        <w:t xml:space="preserve">, </w:t>
      </w:r>
      <w:proofErr w:type="spellStart"/>
      <w:r w:rsidRPr="00A75D9F">
        <w:t>for</w:t>
      </w:r>
      <w:proofErr w:type="spellEnd"/>
      <w:r w:rsidRPr="00A75D9F">
        <w:t xml:space="preserve"> </w:t>
      </w:r>
      <w:proofErr w:type="spellStart"/>
      <w:r w:rsidRPr="00A75D9F">
        <w:t>generously</w:t>
      </w:r>
      <w:proofErr w:type="spellEnd"/>
      <w:r w:rsidRPr="00A75D9F">
        <w:t xml:space="preserve"> </w:t>
      </w:r>
      <w:proofErr w:type="spellStart"/>
      <w:r w:rsidRPr="00A75D9F">
        <w:t>giving</w:t>
      </w:r>
      <w:proofErr w:type="spellEnd"/>
      <w:r w:rsidRPr="00A75D9F">
        <w:t xml:space="preserve"> </w:t>
      </w:r>
      <w:proofErr w:type="spellStart"/>
      <w:r w:rsidRPr="00A75D9F">
        <w:t>his</w:t>
      </w:r>
      <w:proofErr w:type="spellEnd"/>
      <w:r w:rsidRPr="00A75D9F">
        <w:t xml:space="preserve"> </w:t>
      </w:r>
      <w:proofErr w:type="spellStart"/>
      <w:r w:rsidRPr="00A75D9F">
        <w:t>time</w:t>
      </w:r>
      <w:proofErr w:type="spellEnd"/>
      <w:r w:rsidRPr="00A75D9F">
        <w:t xml:space="preserve">, </w:t>
      </w:r>
      <w:proofErr w:type="spellStart"/>
      <w:r w:rsidRPr="00A75D9F">
        <w:t>for</w:t>
      </w:r>
      <w:proofErr w:type="spellEnd"/>
      <w:r w:rsidRPr="00A75D9F">
        <w:t xml:space="preserve"> </w:t>
      </w:r>
      <w:proofErr w:type="spellStart"/>
      <w:r w:rsidRPr="00A75D9F">
        <w:t>his</w:t>
      </w:r>
      <w:proofErr w:type="spellEnd"/>
      <w:r w:rsidRPr="00A75D9F">
        <w:t xml:space="preserve"> </w:t>
      </w:r>
      <w:proofErr w:type="spellStart"/>
      <w:r w:rsidRPr="00A75D9F">
        <w:t>clear</w:t>
      </w:r>
      <w:proofErr w:type="spellEnd"/>
      <w:r w:rsidRPr="00A75D9F">
        <w:t xml:space="preserve"> </w:t>
      </w:r>
      <w:proofErr w:type="spellStart"/>
      <w:r w:rsidRPr="00A75D9F">
        <w:t>explanations</w:t>
      </w:r>
      <w:proofErr w:type="spellEnd"/>
      <w:r w:rsidRPr="00A75D9F">
        <w:t xml:space="preserve">, and </w:t>
      </w:r>
      <w:proofErr w:type="spellStart"/>
      <w:r w:rsidRPr="00A75D9F">
        <w:t>for</w:t>
      </w:r>
      <w:proofErr w:type="spellEnd"/>
      <w:r w:rsidRPr="00A75D9F">
        <w:t xml:space="preserve"> </w:t>
      </w:r>
      <w:proofErr w:type="spellStart"/>
      <w:r w:rsidRPr="00A75D9F">
        <w:t>always</w:t>
      </w:r>
      <w:proofErr w:type="spellEnd"/>
      <w:r w:rsidRPr="00A75D9F">
        <w:t xml:space="preserve"> </w:t>
      </w:r>
      <w:proofErr w:type="spellStart"/>
      <w:r w:rsidRPr="00A75D9F">
        <w:t>listening</w:t>
      </w:r>
      <w:proofErr w:type="spellEnd"/>
      <w:r w:rsidRPr="00A75D9F">
        <w:t xml:space="preserve"> </w:t>
      </w:r>
      <w:proofErr w:type="spellStart"/>
      <w:r w:rsidRPr="00A75D9F">
        <w:t>with</w:t>
      </w:r>
      <w:proofErr w:type="spellEnd"/>
      <w:r w:rsidRPr="00A75D9F">
        <w:t xml:space="preserve"> </w:t>
      </w:r>
      <w:proofErr w:type="spellStart"/>
      <w:r w:rsidRPr="00A75D9F">
        <w:t>patience</w:t>
      </w:r>
      <w:proofErr w:type="spellEnd"/>
      <w:r w:rsidRPr="00A75D9F">
        <w:t xml:space="preserve">. He </w:t>
      </w:r>
      <w:proofErr w:type="spellStart"/>
      <w:r w:rsidRPr="00A75D9F">
        <w:t>also</w:t>
      </w:r>
      <w:proofErr w:type="spellEnd"/>
      <w:r w:rsidRPr="00A75D9F">
        <w:t xml:space="preserve"> </w:t>
      </w:r>
      <w:proofErr w:type="spellStart"/>
      <w:r w:rsidRPr="00A75D9F">
        <w:t>made</w:t>
      </w:r>
      <w:proofErr w:type="spellEnd"/>
      <w:r w:rsidRPr="00A75D9F">
        <w:t xml:space="preserve"> </w:t>
      </w:r>
      <w:proofErr w:type="spellStart"/>
      <w:r w:rsidRPr="00A75D9F">
        <w:t>this</w:t>
      </w:r>
      <w:proofErr w:type="spellEnd"/>
      <w:r w:rsidRPr="00A75D9F">
        <w:t xml:space="preserve"> </w:t>
      </w:r>
      <w:proofErr w:type="spellStart"/>
      <w:r w:rsidRPr="00A75D9F">
        <w:t>field</w:t>
      </w:r>
      <w:proofErr w:type="spellEnd"/>
      <w:r w:rsidRPr="00A75D9F">
        <w:t xml:space="preserve"> </w:t>
      </w:r>
      <w:proofErr w:type="spellStart"/>
      <w:r w:rsidRPr="00A75D9F">
        <w:t>truly</w:t>
      </w:r>
      <w:proofErr w:type="spellEnd"/>
      <w:r w:rsidRPr="00A75D9F">
        <w:t xml:space="preserve"> </w:t>
      </w:r>
      <w:proofErr w:type="spellStart"/>
      <w:r w:rsidRPr="00A75D9F">
        <w:t>interesting</w:t>
      </w:r>
      <w:proofErr w:type="spellEnd"/>
      <w:r w:rsidRPr="00A75D9F">
        <w:t xml:space="preserve"> </w:t>
      </w:r>
      <w:proofErr w:type="spellStart"/>
      <w:r w:rsidRPr="00A75D9F">
        <w:t>for</w:t>
      </w:r>
      <w:proofErr w:type="spellEnd"/>
      <w:r w:rsidRPr="00A75D9F">
        <w:t xml:space="preserve"> </w:t>
      </w:r>
      <w:proofErr w:type="spellStart"/>
      <w:r w:rsidRPr="00A75D9F">
        <w:t>me</w:t>
      </w:r>
      <w:proofErr w:type="spellEnd"/>
      <w:r w:rsidRPr="00A75D9F">
        <w:t xml:space="preserve">, </w:t>
      </w:r>
      <w:proofErr w:type="spellStart"/>
      <w:r w:rsidRPr="00A75D9F">
        <w:t>inspiring</w:t>
      </w:r>
      <w:proofErr w:type="spellEnd"/>
      <w:r w:rsidRPr="00A75D9F">
        <w:t xml:space="preserve"> </w:t>
      </w:r>
      <w:proofErr w:type="spellStart"/>
      <w:r w:rsidRPr="00A75D9F">
        <w:t>my</w:t>
      </w:r>
      <w:proofErr w:type="spellEnd"/>
      <w:r w:rsidRPr="00A75D9F">
        <w:t xml:space="preserve"> </w:t>
      </w:r>
      <w:proofErr w:type="spellStart"/>
      <w:r w:rsidRPr="00A75D9F">
        <w:t>continued</w:t>
      </w:r>
      <w:proofErr w:type="spellEnd"/>
      <w:r w:rsidRPr="00A75D9F">
        <w:t xml:space="preserve"> </w:t>
      </w:r>
      <w:proofErr w:type="spellStart"/>
      <w:r w:rsidRPr="00A75D9F">
        <w:t>curiosity</w:t>
      </w:r>
      <w:proofErr w:type="spellEnd"/>
      <w:r w:rsidRPr="00A75D9F">
        <w:t>.</w:t>
      </w:r>
      <w:r w:rsidR="00230A97">
        <w:t xml:space="preserve"> </w:t>
      </w:r>
      <w:proofErr w:type="spellStart"/>
      <w:r w:rsidRPr="00A75D9F">
        <w:t>My</w:t>
      </w:r>
      <w:proofErr w:type="spellEnd"/>
      <w:r w:rsidRPr="00A75D9F">
        <w:t xml:space="preserve"> </w:t>
      </w:r>
      <w:proofErr w:type="spellStart"/>
      <w:r w:rsidRPr="00A75D9F">
        <w:t>deepest</w:t>
      </w:r>
      <w:proofErr w:type="spellEnd"/>
      <w:r w:rsidRPr="00A75D9F">
        <w:t xml:space="preserve"> </w:t>
      </w:r>
      <w:proofErr w:type="spellStart"/>
      <w:r w:rsidRPr="00A75D9F">
        <w:t>appreciation</w:t>
      </w:r>
      <w:proofErr w:type="spellEnd"/>
      <w:r w:rsidRPr="00A75D9F">
        <w:t xml:space="preserve"> </w:t>
      </w:r>
      <w:proofErr w:type="spellStart"/>
      <w:r w:rsidRPr="00A75D9F">
        <w:t>goes</w:t>
      </w:r>
      <w:proofErr w:type="spellEnd"/>
      <w:r w:rsidRPr="00A75D9F">
        <w:t xml:space="preserve"> </w:t>
      </w:r>
      <w:proofErr w:type="spellStart"/>
      <w:r w:rsidRPr="00A75D9F">
        <w:t>to</w:t>
      </w:r>
      <w:proofErr w:type="spellEnd"/>
      <w:r w:rsidRPr="00A75D9F">
        <w:t xml:space="preserve"> </w:t>
      </w:r>
      <w:proofErr w:type="spellStart"/>
      <w:r w:rsidRPr="00A75D9F">
        <w:t>my</w:t>
      </w:r>
      <w:proofErr w:type="spellEnd"/>
      <w:r w:rsidRPr="00A75D9F">
        <w:t xml:space="preserve"> mentor and </w:t>
      </w:r>
      <w:proofErr w:type="spellStart"/>
      <w:r w:rsidRPr="00A75D9F">
        <w:t>principal</w:t>
      </w:r>
      <w:proofErr w:type="spellEnd"/>
      <w:r w:rsidRPr="00A75D9F">
        <w:t xml:space="preserve"> </w:t>
      </w:r>
      <w:proofErr w:type="spellStart"/>
      <w:r w:rsidRPr="00A75D9F">
        <w:t>supervisor</w:t>
      </w:r>
      <w:proofErr w:type="spellEnd"/>
      <w:r w:rsidRPr="00A75D9F">
        <w:t xml:space="preserve">, </w:t>
      </w:r>
      <w:r w:rsidR="00F45653">
        <w:t xml:space="preserve">Prof. </w:t>
      </w:r>
      <w:r w:rsidRPr="00A75D9F">
        <w:t>Zsolt Molnár</w:t>
      </w:r>
      <w:r w:rsidR="00F45653">
        <w:t xml:space="preserve"> M.D., </w:t>
      </w:r>
      <w:proofErr w:type="spellStart"/>
      <w:r w:rsidR="00F45653">
        <w:t>Ph.D</w:t>
      </w:r>
      <w:proofErr w:type="spellEnd"/>
      <w:r w:rsidR="00F45653">
        <w:t>.</w:t>
      </w:r>
      <w:r w:rsidRPr="00A75D9F">
        <w:t xml:space="preserve">, </w:t>
      </w:r>
      <w:proofErr w:type="spellStart"/>
      <w:r w:rsidRPr="00A75D9F">
        <w:t>who</w:t>
      </w:r>
      <w:proofErr w:type="spellEnd"/>
      <w:r w:rsidRPr="00A75D9F">
        <w:t xml:space="preserve"> </w:t>
      </w:r>
      <w:proofErr w:type="spellStart"/>
      <w:r w:rsidRPr="00A75D9F">
        <w:t>consistently</w:t>
      </w:r>
      <w:proofErr w:type="spellEnd"/>
      <w:r w:rsidRPr="00A75D9F">
        <w:t xml:space="preserve"> </w:t>
      </w:r>
      <w:proofErr w:type="spellStart"/>
      <w:r w:rsidRPr="00A75D9F">
        <w:t>encouraged</w:t>
      </w:r>
      <w:proofErr w:type="spellEnd"/>
      <w:r w:rsidRPr="00A75D9F">
        <w:t xml:space="preserve"> and </w:t>
      </w:r>
      <w:proofErr w:type="spellStart"/>
      <w:r w:rsidRPr="00A75D9F">
        <w:t>supported</w:t>
      </w:r>
      <w:proofErr w:type="spellEnd"/>
      <w:r w:rsidRPr="00A75D9F">
        <w:t xml:space="preserve"> </w:t>
      </w:r>
      <w:proofErr w:type="spellStart"/>
      <w:r w:rsidRPr="00A75D9F">
        <w:t>us</w:t>
      </w:r>
      <w:proofErr w:type="spellEnd"/>
      <w:r w:rsidRPr="00A75D9F">
        <w:t xml:space="preserve"> in </w:t>
      </w:r>
      <w:proofErr w:type="spellStart"/>
      <w:r w:rsidRPr="00A75D9F">
        <w:t>creating</w:t>
      </w:r>
      <w:proofErr w:type="spellEnd"/>
      <w:r w:rsidRPr="00A75D9F">
        <w:t xml:space="preserve"> </w:t>
      </w:r>
      <w:proofErr w:type="spellStart"/>
      <w:r w:rsidRPr="00A75D9F">
        <w:t>high-quality</w:t>
      </w:r>
      <w:proofErr w:type="spellEnd"/>
      <w:r w:rsidRPr="00A75D9F">
        <w:t xml:space="preserve"> </w:t>
      </w:r>
      <w:proofErr w:type="spellStart"/>
      <w:r w:rsidRPr="00A75D9F">
        <w:t>scientific</w:t>
      </w:r>
      <w:proofErr w:type="spellEnd"/>
      <w:r w:rsidRPr="00A75D9F">
        <w:t xml:space="preserve"> </w:t>
      </w:r>
      <w:proofErr w:type="spellStart"/>
      <w:r w:rsidRPr="00A75D9F">
        <w:t>work</w:t>
      </w:r>
      <w:proofErr w:type="spellEnd"/>
      <w:r w:rsidRPr="00A75D9F">
        <w:t xml:space="preserve">. </w:t>
      </w:r>
      <w:proofErr w:type="spellStart"/>
      <w:r w:rsidRPr="00A75D9F">
        <w:t>His</w:t>
      </w:r>
      <w:proofErr w:type="spellEnd"/>
      <w:r w:rsidRPr="00A75D9F">
        <w:t xml:space="preserve"> </w:t>
      </w:r>
      <w:proofErr w:type="spellStart"/>
      <w:r w:rsidRPr="00A75D9F">
        <w:t>professional</w:t>
      </w:r>
      <w:proofErr w:type="spellEnd"/>
      <w:r w:rsidRPr="00A75D9F">
        <w:t xml:space="preserve"> </w:t>
      </w:r>
      <w:proofErr w:type="spellStart"/>
      <w:r w:rsidRPr="00A75D9F">
        <w:t>expertise</w:t>
      </w:r>
      <w:proofErr w:type="spellEnd"/>
      <w:r w:rsidRPr="00A75D9F">
        <w:t xml:space="preserve"> and </w:t>
      </w:r>
      <w:proofErr w:type="spellStart"/>
      <w:r w:rsidRPr="00A75D9F">
        <w:t>personal</w:t>
      </w:r>
      <w:proofErr w:type="spellEnd"/>
      <w:r w:rsidRPr="00A75D9F">
        <w:t xml:space="preserve"> </w:t>
      </w:r>
      <w:proofErr w:type="spellStart"/>
      <w:r w:rsidRPr="00A75D9F">
        <w:t>guidance</w:t>
      </w:r>
      <w:proofErr w:type="spellEnd"/>
      <w:r w:rsidRPr="00A75D9F">
        <w:t xml:space="preserve"> </w:t>
      </w:r>
      <w:proofErr w:type="spellStart"/>
      <w:r w:rsidRPr="00A75D9F">
        <w:t>have</w:t>
      </w:r>
      <w:proofErr w:type="spellEnd"/>
      <w:r w:rsidRPr="00A75D9F">
        <w:t xml:space="preserve"> </w:t>
      </w:r>
      <w:proofErr w:type="spellStart"/>
      <w:r w:rsidRPr="00A75D9F">
        <w:t>been</w:t>
      </w:r>
      <w:proofErr w:type="spellEnd"/>
      <w:r w:rsidRPr="00A75D9F">
        <w:t xml:space="preserve"> </w:t>
      </w:r>
      <w:proofErr w:type="spellStart"/>
      <w:r w:rsidRPr="00A75D9F">
        <w:t>invaluable</w:t>
      </w:r>
      <w:proofErr w:type="spellEnd"/>
      <w:r w:rsidRPr="00A75D9F">
        <w:t xml:space="preserve"> </w:t>
      </w:r>
      <w:proofErr w:type="spellStart"/>
      <w:r w:rsidRPr="00A75D9F">
        <w:t>throughout</w:t>
      </w:r>
      <w:proofErr w:type="spellEnd"/>
      <w:r w:rsidRPr="00A75D9F">
        <w:t xml:space="preserve"> </w:t>
      </w:r>
      <w:proofErr w:type="spellStart"/>
      <w:r w:rsidRPr="00A75D9F">
        <w:t>my</w:t>
      </w:r>
      <w:proofErr w:type="spellEnd"/>
      <w:r w:rsidRPr="00A75D9F">
        <w:t xml:space="preserve"> </w:t>
      </w:r>
      <w:proofErr w:type="spellStart"/>
      <w:r w:rsidRPr="00A75D9F">
        <w:t>studies</w:t>
      </w:r>
      <w:proofErr w:type="spellEnd"/>
      <w:r w:rsidRPr="00A75D9F">
        <w:t>.</w:t>
      </w:r>
      <w:r w:rsidR="00230A97">
        <w:t xml:space="preserve"> </w:t>
      </w:r>
      <w:proofErr w:type="spellStart"/>
      <w:r w:rsidRPr="00A75D9F">
        <w:t>Finally</w:t>
      </w:r>
      <w:proofErr w:type="spellEnd"/>
      <w:r w:rsidRPr="00A75D9F">
        <w:t xml:space="preserve">, I </w:t>
      </w:r>
      <w:proofErr w:type="spellStart"/>
      <w:r w:rsidRPr="00A75D9F">
        <w:t>wish</w:t>
      </w:r>
      <w:proofErr w:type="spellEnd"/>
      <w:r w:rsidRPr="00A75D9F">
        <w:t xml:space="preserve"> </w:t>
      </w:r>
      <w:proofErr w:type="spellStart"/>
      <w:r w:rsidRPr="00A75D9F">
        <w:t>to</w:t>
      </w:r>
      <w:proofErr w:type="spellEnd"/>
      <w:r w:rsidRPr="00A75D9F">
        <w:t xml:space="preserve"> </w:t>
      </w:r>
      <w:proofErr w:type="spellStart"/>
      <w:r w:rsidRPr="00A75D9F">
        <w:t>thank</w:t>
      </w:r>
      <w:proofErr w:type="spellEnd"/>
      <w:r w:rsidRPr="00A75D9F">
        <w:t xml:space="preserve"> </w:t>
      </w:r>
      <w:proofErr w:type="spellStart"/>
      <w:r w:rsidRPr="00A75D9F">
        <w:t>my</w:t>
      </w:r>
      <w:proofErr w:type="spellEnd"/>
      <w:r w:rsidRPr="00A75D9F">
        <w:t xml:space="preserve"> </w:t>
      </w:r>
      <w:proofErr w:type="spellStart"/>
      <w:r w:rsidRPr="00A75D9F">
        <w:t>beloved</w:t>
      </w:r>
      <w:proofErr w:type="spellEnd"/>
      <w:r w:rsidRPr="00A75D9F">
        <w:t xml:space="preserve"> </w:t>
      </w:r>
      <w:proofErr w:type="spellStart"/>
      <w:r w:rsidRPr="00A75D9F">
        <w:t>family</w:t>
      </w:r>
      <w:proofErr w:type="spellEnd"/>
      <w:r w:rsidR="00B807B6">
        <w:t xml:space="preserve">, and </w:t>
      </w:r>
      <w:proofErr w:type="spellStart"/>
      <w:r w:rsidR="00B807B6">
        <w:t>my</w:t>
      </w:r>
      <w:proofErr w:type="spellEnd"/>
      <w:r w:rsidR="00B807B6">
        <w:t xml:space="preserve"> </w:t>
      </w:r>
      <w:proofErr w:type="spellStart"/>
      <w:r w:rsidR="00B807B6">
        <w:t>husband</w:t>
      </w:r>
      <w:proofErr w:type="spellEnd"/>
      <w:r w:rsidR="00B807B6">
        <w:t>,</w:t>
      </w:r>
      <w:r w:rsidR="00F45653">
        <w:t xml:space="preserve"> </w:t>
      </w:r>
      <w:proofErr w:type="spellStart"/>
      <w:r w:rsidRPr="00A75D9F">
        <w:t>for</w:t>
      </w:r>
      <w:proofErr w:type="spellEnd"/>
      <w:r w:rsidRPr="00A75D9F">
        <w:t xml:space="preserve"> </w:t>
      </w:r>
      <w:proofErr w:type="spellStart"/>
      <w:r w:rsidRPr="00A75D9F">
        <w:t>their</w:t>
      </w:r>
      <w:proofErr w:type="spellEnd"/>
      <w:r w:rsidRPr="00A75D9F">
        <w:t xml:space="preserve"> love, </w:t>
      </w:r>
      <w:proofErr w:type="spellStart"/>
      <w:r w:rsidRPr="00A75D9F">
        <w:t>patience</w:t>
      </w:r>
      <w:proofErr w:type="spellEnd"/>
      <w:r w:rsidRPr="00A75D9F">
        <w:t xml:space="preserve">, and </w:t>
      </w:r>
      <w:proofErr w:type="spellStart"/>
      <w:r w:rsidR="00976F72">
        <w:t>never-stopping</w:t>
      </w:r>
      <w:proofErr w:type="spellEnd"/>
      <w:r w:rsidR="00976F72">
        <w:t xml:space="preserve"> </w:t>
      </w:r>
      <w:proofErr w:type="spellStart"/>
      <w:r w:rsidRPr="00A75D9F">
        <w:t>support</w:t>
      </w:r>
      <w:proofErr w:type="spellEnd"/>
      <w:r w:rsidRPr="00A75D9F">
        <w:t xml:space="preserve">. </w:t>
      </w:r>
      <w:proofErr w:type="spellStart"/>
      <w:r w:rsidRPr="00A75D9F">
        <w:t>This</w:t>
      </w:r>
      <w:proofErr w:type="spellEnd"/>
      <w:r w:rsidRPr="00A75D9F">
        <w:t xml:space="preserve"> </w:t>
      </w:r>
      <w:proofErr w:type="spellStart"/>
      <w:r w:rsidRPr="00A75D9F">
        <w:t>thesis</w:t>
      </w:r>
      <w:proofErr w:type="spellEnd"/>
      <w:r w:rsidRPr="00A75D9F">
        <w:t xml:space="preserve"> </w:t>
      </w:r>
      <w:proofErr w:type="spellStart"/>
      <w:r w:rsidRPr="00A75D9F">
        <w:t>would</w:t>
      </w:r>
      <w:proofErr w:type="spellEnd"/>
      <w:r w:rsidRPr="00A75D9F">
        <w:t xml:space="preserve"> </w:t>
      </w:r>
      <w:proofErr w:type="spellStart"/>
      <w:r w:rsidRPr="00A75D9F">
        <w:t>not</w:t>
      </w:r>
      <w:proofErr w:type="spellEnd"/>
      <w:r w:rsidRPr="00A75D9F">
        <w:t xml:space="preserve"> </w:t>
      </w:r>
      <w:proofErr w:type="spellStart"/>
      <w:r w:rsidRPr="00A75D9F">
        <w:t>have</w:t>
      </w:r>
      <w:proofErr w:type="spellEnd"/>
      <w:r w:rsidRPr="00A75D9F">
        <w:t xml:space="preserve"> </w:t>
      </w:r>
      <w:proofErr w:type="spellStart"/>
      <w:r w:rsidRPr="00A75D9F">
        <w:t>been</w:t>
      </w:r>
      <w:proofErr w:type="spellEnd"/>
      <w:r w:rsidRPr="00A75D9F">
        <w:t xml:space="preserve"> </w:t>
      </w:r>
      <w:proofErr w:type="spellStart"/>
      <w:r w:rsidRPr="00A75D9F">
        <w:t>possible</w:t>
      </w:r>
      <w:proofErr w:type="spellEnd"/>
      <w:r w:rsidRPr="00A75D9F">
        <w:t xml:space="preserve"> </w:t>
      </w:r>
      <w:proofErr w:type="spellStart"/>
      <w:r w:rsidRPr="00A75D9F">
        <w:t>without</w:t>
      </w:r>
      <w:proofErr w:type="spellEnd"/>
      <w:r w:rsidRPr="00A75D9F">
        <w:t xml:space="preserve"> </w:t>
      </w:r>
      <w:proofErr w:type="spellStart"/>
      <w:r w:rsidRPr="00A75D9F">
        <w:t>them</w:t>
      </w:r>
      <w:proofErr w:type="spellEnd"/>
      <w:r w:rsidR="00F45653">
        <w:t>.</w:t>
      </w:r>
      <w:r w:rsidR="009D62C6" w:rsidRPr="00483D15">
        <w:rPr>
          <w:lang w:val="en-US"/>
        </w:rPr>
        <w:br w:type="page"/>
      </w:r>
    </w:p>
    <w:p w14:paraId="79DC7FF9" w14:textId="106C5B41" w:rsidR="00A66F3F" w:rsidRPr="00A66F3F" w:rsidRDefault="00A66F3F" w:rsidP="00A66F3F">
      <w:pPr>
        <w:rPr>
          <w:lang w:val="en-US"/>
        </w:rPr>
      </w:pPr>
    </w:p>
    <w:sectPr w:rsidR="00A66F3F" w:rsidRPr="00A66F3F" w:rsidSect="00003854">
      <w:pgSz w:w="11906" w:h="16838"/>
      <w:pgMar w:top="1701" w:right="1701" w:bottom="1701" w:left="1701" w:header="709" w:footer="709" w:gutter="0"/>
      <w:pgNumType w:start="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016C17" w14:textId="77777777" w:rsidR="00172BDF" w:rsidRDefault="00172BDF" w:rsidP="00422C90">
      <w:pPr>
        <w:spacing w:after="0" w:line="240" w:lineRule="auto"/>
      </w:pPr>
      <w:r>
        <w:separator/>
      </w:r>
    </w:p>
  </w:endnote>
  <w:endnote w:type="continuationSeparator" w:id="0">
    <w:p w14:paraId="3CD64D29" w14:textId="77777777" w:rsidR="00172BDF" w:rsidRDefault="00172BDF" w:rsidP="00422C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Palatino Linotype">
    <w:panose1 w:val="02040502050505030304"/>
    <w:charset w:val="EE"/>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EE"/>
    <w:family w:val="swiss"/>
    <w:pitch w:val="variable"/>
    <w:sig w:usb0="00000287" w:usb1="00000800" w:usb2="00000000" w:usb3="00000000" w:csb0="0000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6981595"/>
      <w:docPartObj>
        <w:docPartGallery w:val="Page Numbers (Bottom of Page)"/>
        <w:docPartUnique/>
      </w:docPartObj>
    </w:sdtPr>
    <w:sdtEndPr>
      <w:rPr>
        <w:noProof/>
      </w:rPr>
    </w:sdtEndPr>
    <w:sdtContent>
      <w:p w14:paraId="49F38BCC" w14:textId="40BF7019" w:rsidR="00C620B5" w:rsidRDefault="00C620B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E93F62" w14:textId="77777777" w:rsidR="00DB4483" w:rsidRDefault="00DB44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5803841"/>
      <w:docPartObj>
        <w:docPartGallery w:val="Page Numbers (Bottom of Page)"/>
        <w:docPartUnique/>
      </w:docPartObj>
    </w:sdtPr>
    <w:sdtEndPr>
      <w:rPr>
        <w:noProof/>
      </w:rPr>
    </w:sdtEndPr>
    <w:sdtContent>
      <w:p w14:paraId="3FFD0825" w14:textId="5E2AA1A8" w:rsidR="0088647D" w:rsidRDefault="0088647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FBD16C" w14:textId="77777777" w:rsidR="0088647D" w:rsidRDefault="008864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201A4F" w14:textId="77777777" w:rsidR="00172BDF" w:rsidRDefault="00172BDF" w:rsidP="00422C90">
      <w:pPr>
        <w:spacing w:after="0" w:line="240" w:lineRule="auto"/>
      </w:pPr>
      <w:r>
        <w:separator/>
      </w:r>
    </w:p>
  </w:footnote>
  <w:footnote w:type="continuationSeparator" w:id="0">
    <w:p w14:paraId="6A2D35FF" w14:textId="77777777" w:rsidR="00172BDF" w:rsidRDefault="00172BDF" w:rsidP="00422C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076117"/>
    <w:multiLevelType w:val="hybridMultilevel"/>
    <w:tmpl w:val="7AB635EE"/>
    <w:lvl w:ilvl="0" w:tplc="1A72DCEA">
      <w:start w:val="9"/>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9592171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FBB"/>
    <w:rsid w:val="00002191"/>
    <w:rsid w:val="00002C2B"/>
    <w:rsid w:val="0000302C"/>
    <w:rsid w:val="0000307C"/>
    <w:rsid w:val="000031F6"/>
    <w:rsid w:val="00003854"/>
    <w:rsid w:val="00003F66"/>
    <w:rsid w:val="000058A1"/>
    <w:rsid w:val="00005B37"/>
    <w:rsid w:val="00007048"/>
    <w:rsid w:val="00007413"/>
    <w:rsid w:val="00010EC0"/>
    <w:rsid w:val="00011C18"/>
    <w:rsid w:val="000147F1"/>
    <w:rsid w:val="00014988"/>
    <w:rsid w:val="000242CF"/>
    <w:rsid w:val="00024C82"/>
    <w:rsid w:val="00025F1D"/>
    <w:rsid w:val="00027321"/>
    <w:rsid w:val="00030511"/>
    <w:rsid w:val="0003137E"/>
    <w:rsid w:val="00031D6E"/>
    <w:rsid w:val="00033C4D"/>
    <w:rsid w:val="0004167E"/>
    <w:rsid w:val="00042CA9"/>
    <w:rsid w:val="00045102"/>
    <w:rsid w:val="000453FC"/>
    <w:rsid w:val="00046D64"/>
    <w:rsid w:val="000475E4"/>
    <w:rsid w:val="000546DA"/>
    <w:rsid w:val="00056B7F"/>
    <w:rsid w:val="00057C5C"/>
    <w:rsid w:val="000611F8"/>
    <w:rsid w:val="00061E76"/>
    <w:rsid w:val="0006456A"/>
    <w:rsid w:val="00067363"/>
    <w:rsid w:val="000709F1"/>
    <w:rsid w:val="0007244F"/>
    <w:rsid w:val="00073537"/>
    <w:rsid w:val="000738B4"/>
    <w:rsid w:val="0007513E"/>
    <w:rsid w:val="00075B55"/>
    <w:rsid w:val="00075DC5"/>
    <w:rsid w:val="00076FC1"/>
    <w:rsid w:val="000773D6"/>
    <w:rsid w:val="00080072"/>
    <w:rsid w:val="00080DA6"/>
    <w:rsid w:val="000820D5"/>
    <w:rsid w:val="000830E2"/>
    <w:rsid w:val="0008491D"/>
    <w:rsid w:val="000851C5"/>
    <w:rsid w:val="00086C5B"/>
    <w:rsid w:val="000918E1"/>
    <w:rsid w:val="00093FB1"/>
    <w:rsid w:val="00094BD2"/>
    <w:rsid w:val="00095563"/>
    <w:rsid w:val="000967DC"/>
    <w:rsid w:val="000A05C8"/>
    <w:rsid w:val="000A0CE2"/>
    <w:rsid w:val="000A2834"/>
    <w:rsid w:val="000A3539"/>
    <w:rsid w:val="000A3AA5"/>
    <w:rsid w:val="000A61B3"/>
    <w:rsid w:val="000A6619"/>
    <w:rsid w:val="000A6B1F"/>
    <w:rsid w:val="000A77A9"/>
    <w:rsid w:val="000B4647"/>
    <w:rsid w:val="000B5069"/>
    <w:rsid w:val="000C18D2"/>
    <w:rsid w:val="000C1C31"/>
    <w:rsid w:val="000C301F"/>
    <w:rsid w:val="000C395E"/>
    <w:rsid w:val="000C4B43"/>
    <w:rsid w:val="000C4BA9"/>
    <w:rsid w:val="000C5309"/>
    <w:rsid w:val="000C6B49"/>
    <w:rsid w:val="000D0102"/>
    <w:rsid w:val="000D3940"/>
    <w:rsid w:val="000D47A5"/>
    <w:rsid w:val="000D603D"/>
    <w:rsid w:val="000D7EBA"/>
    <w:rsid w:val="000E3051"/>
    <w:rsid w:val="000E3931"/>
    <w:rsid w:val="000E5939"/>
    <w:rsid w:val="000E5EDF"/>
    <w:rsid w:val="000F149A"/>
    <w:rsid w:val="000F156B"/>
    <w:rsid w:val="000F24A3"/>
    <w:rsid w:val="000F396A"/>
    <w:rsid w:val="000F61A6"/>
    <w:rsid w:val="001052F0"/>
    <w:rsid w:val="001065B4"/>
    <w:rsid w:val="00106832"/>
    <w:rsid w:val="00107B62"/>
    <w:rsid w:val="00114B56"/>
    <w:rsid w:val="00122587"/>
    <w:rsid w:val="00123126"/>
    <w:rsid w:val="00124758"/>
    <w:rsid w:val="00124CFA"/>
    <w:rsid w:val="00125FA3"/>
    <w:rsid w:val="00126DDF"/>
    <w:rsid w:val="00130621"/>
    <w:rsid w:val="00133767"/>
    <w:rsid w:val="00137E2C"/>
    <w:rsid w:val="00142890"/>
    <w:rsid w:val="00142A29"/>
    <w:rsid w:val="00142CD6"/>
    <w:rsid w:val="001462ED"/>
    <w:rsid w:val="00151918"/>
    <w:rsid w:val="0015641C"/>
    <w:rsid w:val="00162475"/>
    <w:rsid w:val="001648F4"/>
    <w:rsid w:val="00164B80"/>
    <w:rsid w:val="00165429"/>
    <w:rsid w:val="00166D81"/>
    <w:rsid w:val="001701E6"/>
    <w:rsid w:val="00171C5E"/>
    <w:rsid w:val="00172BDF"/>
    <w:rsid w:val="00174A9D"/>
    <w:rsid w:val="00176D57"/>
    <w:rsid w:val="001804BB"/>
    <w:rsid w:val="00181EE4"/>
    <w:rsid w:val="00182361"/>
    <w:rsid w:val="001860DC"/>
    <w:rsid w:val="00186AE5"/>
    <w:rsid w:val="00187572"/>
    <w:rsid w:val="001901E5"/>
    <w:rsid w:val="00190AB9"/>
    <w:rsid w:val="00190B94"/>
    <w:rsid w:val="00191C41"/>
    <w:rsid w:val="00192E8E"/>
    <w:rsid w:val="0019374F"/>
    <w:rsid w:val="00193CA7"/>
    <w:rsid w:val="00193E5E"/>
    <w:rsid w:val="00194236"/>
    <w:rsid w:val="00197946"/>
    <w:rsid w:val="001A125E"/>
    <w:rsid w:val="001A1CA0"/>
    <w:rsid w:val="001A2E8B"/>
    <w:rsid w:val="001A3D09"/>
    <w:rsid w:val="001A4462"/>
    <w:rsid w:val="001A58A2"/>
    <w:rsid w:val="001A5A22"/>
    <w:rsid w:val="001A5D4B"/>
    <w:rsid w:val="001A5EE5"/>
    <w:rsid w:val="001A6B18"/>
    <w:rsid w:val="001B0BCF"/>
    <w:rsid w:val="001B23AD"/>
    <w:rsid w:val="001B37DA"/>
    <w:rsid w:val="001B387D"/>
    <w:rsid w:val="001B51D1"/>
    <w:rsid w:val="001B5449"/>
    <w:rsid w:val="001B6136"/>
    <w:rsid w:val="001B6231"/>
    <w:rsid w:val="001C42D0"/>
    <w:rsid w:val="001C6201"/>
    <w:rsid w:val="001D19FE"/>
    <w:rsid w:val="001D245B"/>
    <w:rsid w:val="001D2FFD"/>
    <w:rsid w:val="001D3B4D"/>
    <w:rsid w:val="001D4EAF"/>
    <w:rsid w:val="001E0961"/>
    <w:rsid w:val="001E1062"/>
    <w:rsid w:val="001E12A8"/>
    <w:rsid w:val="001E13CB"/>
    <w:rsid w:val="001E1697"/>
    <w:rsid w:val="001E2F93"/>
    <w:rsid w:val="001E3369"/>
    <w:rsid w:val="001E4315"/>
    <w:rsid w:val="001E53A8"/>
    <w:rsid w:val="001E5760"/>
    <w:rsid w:val="001F0F37"/>
    <w:rsid w:val="001F1E26"/>
    <w:rsid w:val="001F1E7E"/>
    <w:rsid w:val="001F225A"/>
    <w:rsid w:val="001F2562"/>
    <w:rsid w:val="001F3E9D"/>
    <w:rsid w:val="001F6675"/>
    <w:rsid w:val="00201C16"/>
    <w:rsid w:val="00202E80"/>
    <w:rsid w:val="0020556F"/>
    <w:rsid w:val="00220F66"/>
    <w:rsid w:val="00222BA7"/>
    <w:rsid w:val="0022665F"/>
    <w:rsid w:val="00226C8E"/>
    <w:rsid w:val="0022726B"/>
    <w:rsid w:val="0022730B"/>
    <w:rsid w:val="00230500"/>
    <w:rsid w:val="00230A97"/>
    <w:rsid w:val="00230EB5"/>
    <w:rsid w:val="00231527"/>
    <w:rsid w:val="00231B7A"/>
    <w:rsid w:val="002337D7"/>
    <w:rsid w:val="0023463F"/>
    <w:rsid w:val="00235445"/>
    <w:rsid w:val="002372FA"/>
    <w:rsid w:val="002376DC"/>
    <w:rsid w:val="00237EFD"/>
    <w:rsid w:val="0024040A"/>
    <w:rsid w:val="0024116A"/>
    <w:rsid w:val="002431D4"/>
    <w:rsid w:val="00245C1E"/>
    <w:rsid w:val="00245E89"/>
    <w:rsid w:val="00246899"/>
    <w:rsid w:val="0025062D"/>
    <w:rsid w:val="00251843"/>
    <w:rsid w:val="00251CB1"/>
    <w:rsid w:val="00252977"/>
    <w:rsid w:val="0025344E"/>
    <w:rsid w:val="002536CC"/>
    <w:rsid w:val="00255578"/>
    <w:rsid w:val="002618E0"/>
    <w:rsid w:val="00264108"/>
    <w:rsid w:val="00264864"/>
    <w:rsid w:val="002654FB"/>
    <w:rsid w:val="00266A5A"/>
    <w:rsid w:val="0027084F"/>
    <w:rsid w:val="002709B4"/>
    <w:rsid w:val="002722E0"/>
    <w:rsid w:val="00274CBD"/>
    <w:rsid w:val="00276D12"/>
    <w:rsid w:val="00277D20"/>
    <w:rsid w:val="00281A00"/>
    <w:rsid w:val="00281C15"/>
    <w:rsid w:val="0028274A"/>
    <w:rsid w:val="00282CB9"/>
    <w:rsid w:val="00283E78"/>
    <w:rsid w:val="00283EAD"/>
    <w:rsid w:val="002843CC"/>
    <w:rsid w:val="00284F1F"/>
    <w:rsid w:val="0028575D"/>
    <w:rsid w:val="0029000D"/>
    <w:rsid w:val="00290EC9"/>
    <w:rsid w:val="00293347"/>
    <w:rsid w:val="00294271"/>
    <w:rsid w:val="002A1EC8"/>
    <w:rsid w:val="002A2E6D"/>
    <w:rsid w:val="002A3D45"/>
    <w:rsid w:val="002A62B3"/>
    <w:rsid w:val="002A63B1"/>
    <w:rsid w:val="002B1176"/>
    <w:rsid w:val="002B220D"/>
    <w:rsid w:val="002B241F"/>
    <w:rsid w:val="002B3ECC"/>
    <w:rsid w:val="002B6743"/>
    <w:rsid w:val="002B76A2"/>
    <w:rsid w:val="002B7C27"/>
    <w:rsid w:val="002B7DC8"/>
    <w:rsid w:val="002C0210"/>
    <w:rsid w:val="002C1BD9"/>
    <w:rsid w:val="002C29C3"/>
    <w:rsid w:val="002C396A"/>
    <w:rsid w:val="002C486C"/>
    <w:rsid w:val="002C691E"/>
    <w:rsid w:val="002C6E39"/>
    <w:rsid w:val="002C7DD1"/>
    <w:rsid w:val="002D10A1"/>
    <w:rsid w:val="002D1446"/>
    <w:rsid w:val="002D4875"/>
    <w:rsid w:val="002E1929"/>
    <w:rsid w:val="002E26D4"/>
    <w:rsid w:val="002E43DB"/>
    <w:rsid w:val="002E6A8A"/>
    <w:rsid w:val="002F2463"/>
    <w:rsid w:val="002F29FC"/>
    <w:rsid w:val="002F37E2"/>
    <w:rsid w:val="002F493A"/>
    <w:rsid w:val="002F5E2E"/>
    <w:rsid w:val="002F5F74"/>
    <w:rsid w:val="002F7560"/>
    <w:rsid w:val="002F774D"/>
    <w:rsid w:val="003002D5"/>
    <w:rsid w:val="00302D21"/>
    <w:rsid w:val="0030324C"/>
    <w:rsid w:val="00305A3F"/>
    <w:rsid w:val="0030768A"/>
    <w:rsid w:val="0031070F"/>
    <w:rsid w:val="0031159B"/>
    <w:rsid w:val="00312619"/>
    <w:rsid w:val="00312729"/>
    <w:rsid w:val="00313E5D"/>
    <w:rsid w:val="003147AA"/>
    <w:rsid w:val="00314988"/>
    <w:rsid w:val="00314FCD"/>
    <w:rsid w:val="0032049E"/>
    <w:rsid w:val="00320A1A"/>
    <w:rsid w:val="00324115"/>
    <w:rsid w:val="0032483E"/>
    <w:rsid w:val="0032494B"/>
    <w:rsid w:val="00327F7C"/>
    <w:rsid w:val="00330FAF"/>
    <w:rsid w:val="003322F3"/>
    <w:rsid w:val="00332570"/>
    <w:rsid w:val="003336FD"/>
    <w:rsid w:val="00334116"/>
    <w:rsid w:val="00336757"/>
    <w:rsid w:val="0033766B"/>
    <w:rsid w:val="003413B9"/>
    <w:rsid w:val="00344BBA"/>
    <w:rsid w:val="0034536F"/>
    <w:rsid w:val="003509E0"/>
    <w:rsid w:val="00353A55"/>
    <w:rsid w:val="00355A3F"/>
    <w:rsid w:val="0035637D"/>
    <w:rsid w:val="003566C3"/>
    <w:rsid w:val="00357669"/>
    <w:rsid w:val="00360DBA"/>
    <w:rsid w:val="0036122A"/>
    <w:rsid w:val="00362018"/>
    <w:rsid w:val="003653A8"/>
    <w:rsid w:val="00365992"/>
    <w:rsid w:val="0036711F"/>
    <w:rsid w:val="003672C1"/>
    <w:rsid w:val="00367F12"/>
    <w:rsid w:val="00371B09"/>
    <w:rsid w:val="0037380D"/>
    <w:rsid w:val="00374330"/>
    <w:rsid w:val="003745AE"/>
    <w:rsid w:val="00374825"/>
    <w:rsid w:val="00377315"/>
    <w:rsid w:val="003803E6"/>
    <w:rsid w:val="003823F2"/>
    <w:rsid w:val="00382D13"/>
    <w:rsid w:val="003840A2"/>
    <w:rsid w:val="0038497D"/>
    <w:rsid w:val="00386E36"/>
    <w:rsid w:val="00391F32"/>
    <w:rsid w:val="003924B7"/>
    <w:rsid w:val="00396F72"/>
    <w:rsid w:val="003A1AE8"/>
    <w:rsid w:val="003A2484"/>
    <w:rsid w:val="003A38B1"/>
    <w:rsid w:val="003A4D33"/>
    <w:rsid w:val="003A5308"/>
    <w:rsid w:val="003A6BC7"/>
    <w:rsid w:val="003B14C3"/>
    <w:rsid w:val="003B155D"/>
    <w:rsid w:val="003B397C"/>
    <w:rsid w:val="003B4291"/>
    <w:rsid w:val="003B56F7"/>
    <w:rsid w:val="003B6301"/>
    <w:rsid w:val="003C5DEA"/>
    <w:rsid w:val="003C63E1"/>
    <w:rsid w:val="003C6713"/>
    <w:rsid w:val="003C74A0"/>
    <w:rsid w:val="003C7AC4"/>
    <w:rsid w:val="003D1005"/>
    <w:rsid w:val="003D137B"/>
    <w:rsid w:val="003D1A80"/>
    <w:rsid w:val="003D2671"/>
    <w:rsid w:val="003D2CA9"/>
    <w:rsid w:val="003D3520"/>
    <w:rsid w:val="003D4DF7"/>
    <w:rsid w:val="003D5CAF"/>
    <w:rsid w:val="003E3927"/>
    <w:rsid w:val="003E47C9"/>
    <w:rsid w:val="003E4BEB"/>
    <w:rsid w:val="003E51C7"/>
    <w:rsid w:val="003E55F9"/>
    <w:rsid w:val="003E5830"/>
    <w:rsid w:val="003E6A58"/>
    <w:rsid w:val="003F0E4E"/>
    <w:rsid w:val="003F12F0"/>
    <w:rsid w:val="003F15E4"/>
    <w:rsid w:val="003F3940"/>
    <w:rsid w:val="003F4564"/>
    <w:rsid w:val="003F4A6E"/>
    <w:rsid w:val="003F5D10"/>
    <w:rsid w:val="003F6DDA"/>
    <w:rsid w:val="003F7CD9"/>
    <w:rsid w:val="00401D7F"/>
    <w:rsid w:val="00402305"/>
    <w:rsid w:val="00402376"/>
    <w:rsid w:val="00406AA8"/>
    <w:rsid w:val="004075ED"/>
    <w:rsid w:val="004077B0"/>
    <w:rsid w:val="00407C09"/>
    <w:rsid w:val="00411FDE"/>
    <w:rsid w:val="004150F7"/>
    <w:rsid w:val="004220E8"/>
    <w:rsid w:val="00422A37"/>
    <w:rsid w:val="00422C90"/>
    <w:rsid w:val="00423F94"/>
    <w:rsid w:val="00424694"/>
    <w:rsid w:val="004258F1"/>
    <w:rsid w:val="00426334"/>
    <w:rsid w:val="0042699D"/>
    <w:rsid w:val="004338F8"/>
    <w:rsid w:val="004341C2"/>
    <w:rsid w:val="0043544C"/>
    <w:rsid w:val="00436FD0"/>
    <w:rsid w:val="004370F0"/>
    <w:rsid w:val="00437F17"/>
    <w:rsid w:val="004433C6"/>
    <w:rsid w:val="00443ECC"/>
    <w:rsid w:val="00444302"/>
    <w:rsid w:val="00445481"/>
    <w:rsid w:val="00445EE6"/>
    <w:rsid w:val="0044602D"/>
    <w:rsid w:val="004506E8"/>
    <w:rsid w:val="00450FC0"/>
    <w:rsid w:val="004511B1"/>
    <w:rsid w:val="004526F1"/>
    <w:rsid w:val="00452790"/>
    <w:rsid w:val="0045291B"/>
    <w:rsid w:val="00453ED4"/>
    <w:rsid w:val="0045467D"/>
    <w:rsid w:val="0045623C"/>
    <w:rsid w:val="00456CA0"/>
    <w:rsid w:val="00457117"/>
    <w:rsid w:val="0046002D"/>
    <w:rsid w:val="004601ED"/>
    <w:rsid w:val="00461D58"/>
    <w:rsid w:val="00462523"/>
    <w:rsid w:val="0046263E"/>
    <w:rsid w:val="00462EB1"/>
    <w:rsid w:val="0046377A"/>
    <w:rsid w:val="00463F0F"/>
    <w:rsid w:val="004657AB"/>
    <w:rsid w:val="004658E9"/>
    <w:rsid w:val="004663A5"/>
    <w:rsid w:val="004669EB"/>
    <w:rsid w:val="0046796C"/>
    <w:rsid w:val="00467A7B"/>
    <w:rsid w:val="00472740"/>
    <w:rsid w:val="00472A38"/>
    <w:rsid w:val="00472FA6"/>
    <w:rsid w:val="00474323"/>
    <w:rsid w:val="004748B6"/>
    <w:rsid w:val="00475913"/>
    <w:rsid w:val="00475FA2"/>
    <w:rsid w:val="00476072"/>
    <w:rsid w:val="0047669D"/>
    <w:rsid w:val="004779DC"/>
    <w:rsid w:val="0048100A"/>
    <w:rsid w:val="00483D15"/>
    <w:rsid w:val="00485427"/>
    <w:rsid w:val="0048598F"/>
    <w:rsid w:val="00486E63"/>
    <w:rsid w:val="00487A87"/>
    <w:rsid w:val="00487DB2"/>
    <w:rsid w:val="0049068C"/>
    <w:rsid w:val="004913ED"/>
    <w:rsid w:val="00492F30"/>
    <w:rsid w:val="004958FF"/>
    <w:rsid w:val="0049663C"/>
    <w:rsid w:val="004A0E29"/>
    <w:rsid w:val="004A10A0"/>
    <w:rsid w:val="004A14DC"/>
    <w:rsid w:val="004A26F7"/>
    <w:rsid w:val="004A2B86"/>
    <w:rsid w:val="004A5060"/>
    <w:rsid w:val="004A5249"/>
    <w:rsid w:val="004A5F05"/>
    <w:rsid w:val="004A675B"/>
    <w:rsid w:val="004B0125"/>
    <w:rsid w:val="004B2315"/>
    <w:rsid w:val="004B41B7"/>
    <w:rsid w:val="004B6E2E"/>
    <w:rsid w:val="004B7FD2"/>
    <w:rsid w:val="004C4163"/>
    <w:rsid w:val="004C41B6"/>
    <w:rsid w:val="004C6F0A"/>
    <w:rsid w:val="004D0B67"/>
    <w:rsid w:val="004D0D04"/>
    <w:rsid w:val="004D0D0A"/>
    <w:rsid w:val="004D368F"/>
    <w:rsid w:val="004D43E1"/>
    <w:rsid w:val="004D4CEC"/>
    <w:rsid w:val="004D5568"/>
    <w:rsid w:val="004D74A4"/>
    <w:rsid w:val="004E094C"/>
    <w:rsid w:val="004E3C4F"/>
    <w:rsid w:val="004E414B"/>
    <w:rsid w:val="004E4736"/>
    <w:rsid w:val="004E5227"/>
    <w:rsid w:val="004E557C"/>
    <w:rsid w:val="004F3558"/>
    <w:rsid w:val="004F44BE"/>
    <w:rsid w:val="004F46EA"/>
    <w:rsid w:val="004F5486"/>
    <w:rsid w:val="004F55D2"/>
    <w:rsid w:val="004F7773"/>
    <w:rsid w:val="005018E2"/>
    <w:rsid w:val="00501945"/>
    <w:rsid w:val="00506949"/>
    <w:rsid w:val="00510E88"/>
    <w:rsid w:val="005115B6"/>
    <w:rsid w:val="00512CB8"/>
    <w:rsid w:val="0051317B"/>
    <w:rsid w:val="00513C20"/>
    <w:rsid w:val="005155AD"/>
    <w:rsid w:val="00515FB8"/>
    <w:rsid w:val="00516FD4"/>
    <w:rsid w:val="00517DC7"/>
    <w:rsid w:val="00521734"/>
    <w:rsid w:val="00522039"/>
    <w:rsid w:val="00526DF9"/>
    <w:rsid w:val="00531869"/>
    <w:rsid w:val="00531B7A"/>
    <w:rsid w:val="00533033"/>
    <w:rsid w:val="005332B9"/>
    <w:rsid w:val="00534963"/>
    <w:rsid w:val="00540B1D"/>
    <w:rsid w:val="00540D35"/>
    <w:rsid w:val="0054246B"/>
    <w:rsid w:val="005521B2"/>
    <w:rsid w:val="00554CAC"/>
    <w:rsid w:val="00555E55"/>
    <w:rsid w:val="00557254"/>
    <w:rsid w:val="00561789"/>
    <w:rsid w:val="00565155"/>
    <w:rsid w:val="00565DAA"/>
    <w:rsid w:val="00566202"/>
    <w:rsid w:val="00567765"/>
    <w:rsid w:val="00567AB1"/>
    <w:rsid w:val="005703D4"/>
    <w:rsid w:val="005709DE"/>
    <w:rsid w:val="0057107B"/>
    <w:rsid w:val="00571263"/>
    <w:rsid w:val="00571661"/>
    <w:rsid w:val="00571688"/>
    <w:rsid w:val="005729D1"/>
    <w:rsid w:val="00573C51"/>
    <w:rsid w:val="00575671"/>
    <w:rsid w:val="00585138"/>
    <w:rsid w:val="00585F6C"/>
    <w:rsid w:val="00586EFD"/>
    <w:rsid w:val="00587E91"/>
    <w:rsid w:val="0059069F"/>
    <w:rsid w:val="005910BC"/>
    <w:rsid w:val="005929DB"/>
    <w:rsid w:val="00594D17"/>
    <w:rsid w:val="005957DC"/>
    <w:rsid w:val="0059588E"/>
    <w:rsid w:val="00595B0D"/>
    <w:rsid w:val="005A08F0"/>
    <w:rsid w:val="005A1AFB"/>
    <w:rsid w:val="005A4A75"/>
    <w:rsid w:val="005B0630"/>
    <w:rsid w:val="005B1B45"/>
    <w:rsid w:val="005B2258"/>
    <w:rsid w:val="005B35E9"/>
    <w:rsid w:val="005B3CE7"/>
    <w:rsid w:val="005B4088"/>
    <w:rsid w:val="005B452E"/>
    <w:rsid w:val="005B494F"/>
    <w:rsid w:val="005C04BD"/>
    <w:rsid w:val="005C49A9"/>
    <w:rsid w:val="005D08AE"/>
    <w:rsid w:val="005D39E5"/>
    <w:rsid w:val="005D44E2"/>
    <w:rsid w:val="005D4B57"/>
    <w:rsid w:val="005D766C"/>
    <w:rsid w:val="005E2F81"/>
    <w:rsid w:val="005E38DF"/>
    <w:rsid w:val="005E466F"/>
    <w:rsid w:val="005E5074"/>
    <w:rsid w:val="005E5E86"/>
    <w:rsid w:val="005E638C"/>
    <w:rsid w:val="005E6597"/>
    <w:rsid w:val="005E73D9"/>
    <w:rsid w:val="005F0556"/>
    <w:rsid w:val="005F0D84"/>
    <w:rsid w:val="005F0F91"/>
    <w:rsid w:val="005F1C47"/>
    <w:rsid w:val="005F1C9D"/>
    <w:rsid w:val="005F23CB"/>
    <w:rsid w:val="005F2878"/>
    <w:rsid w:val="005F4571"/>
    <w:rsid w:val="005F584E"/>
    <w:rsid w:val="005F5B8C"/>
    <w:rsid w:val="005F6DBA"/>
    <w:rsid w:val="00601FE1"/>
    <w:rsid w:val="00603224"/>
    <w:rsid w:val="00603252"/>
    <w:rsid w:val="00603A32"/>
    <w:rsid w:val="00606670"/>
    <w:rsid w:val="00606986"/>
    <w:rsid w:val="00607263"/>
    <w:rsid w:val="00607A38"/>
    <w:rsid w:val="00610A87"/>
    <w:rsid w:val="00610ECB"/>
    <w:rsid w:val="00611238"/>
    <w:rsid w:val="00613605"/>
    <w:rsid w:val="0061707A"/>
    <w:rsid w:val="00617A92"/>
    <w:rsid w:val="00617F61"/>
    <w:rsid w:val="00620334"/>
    <w:rsid w:val="00621105"/>
    <w:rsid w:val="00621A25"/>
    <w:rsid w:val="006220C5"/>
    <w:rsid w:val="006235F6"/>
    <w:rsid w:val="00623AA8"/>
    <w:rsid w:val="00625D8B"/>
    <w:rsid w:val="006264EF"/>
    <w:rsid w:val="00631131"/>
    <w:rsid w:val="006322AA"/>
    <w:rsid w:val="00635D19"/>
    <w:rsid w:val="00636652"/>
    <w:rsid w:val="006406AD"/>
    <w:rsid w:val="00640CB8"/>
    <w:rsid w:val="00641049"/>
    <w:rsid w:val="0064340C"/>
    <w:rsid w:val="00643C5C"/>
    <w:rsid w:val="006469A5"/>
    <w:rsid w:val="00647382"/>
    <w:rsid w:val="006479AC"/>
    <w:rsid w:val="00647CD6"/>
    <w:rsid w:val="00647F4D"/>
    <w:rsid w:val="00650CBF"/>
    <w:rsid w:val="006516A5"/>
    <w:rsid w:val="006520E5"/>
    <w:rsid w:val="00652F22"/>
    <w:rsid w:val="00653D46"/>
    <w:rsid w:val="00660AFE"/>
    <w:rsid w:val="00661539"/>
    <w:rsid w:val="00664D3D"/>
    <w:rsid w:val="00664DB2"/>
    <w:rsid w:val="00664F92"/>
    <w:rsid w:val="00665F22"/>
    <w:rsid w:val="00671D44"/>
    <w:rsid w:val="006728C2"/>
    <w:rsid w:val="00672970"/>
    <w:rsid w:val="00673A77"/>
    <w:rsid w:val="006751E5"/>
    <w:rsid w:val="00676E04"/>
    <w:rsid w:val="0067720C"/>
    <w:rsid w:val="0067748F"/>
    <w:rsid w:val="00681248"/>
    <w:rsid w:val="00681254"/>
    <w:rsid w:val="00683058"/>
    <w:rsid w:val="0068463B"/>
    <w:rsid w:val="0068471C"/>
    <w:rsid w:val="00690D57"/>
    <w:rsid w:val="00691C3C"/>
    <w:rsid w:val="006926A3"/>
    <w:rsid w:val="00692983"/>
    <w:rsid w:val="006942A7"/>
    <w:rsid w:val="006948F8"/>
    <w:rsid w:val="00695F4A"/>
    <w:rsid w:val="00696347"/>
    <w:rsid w:val="006A178F"/>
    <w:rsid w:val="006A3381"/>
    <w:rsid w:val="006A434D"/>
    <w:rsid w:val="006A7A56"/>
    <w:rsid w:val="006A7B8C"/>
    <w:rsid w:val="006B04ED"/>
    <w:rsid w:val="006B11CA"/>
    <w:rsid w:val="006B3599"/>
    <w:rsid w:val="006B43A3"/>
    <w:rsid w:val="006B6059"/>
    <w:rsid w:val="006B61DB"/>
    <w:rsid w:val="006B6E1B"/>
    <w:rsid w:val="006C2B27"/>
    <w:rsid w:val="006C3623"/>
    <w:rsid w:val="006C5C6D"/>
    <w:rsid w:val="006C60FD"/>
    <w:rsid w:val="006C6C7D"/>
    <w:rsid w:val="006C74CF"/>
    <w:rsid w:val="006C7A89"/>
    <w:rsid w:val="006D1920"/>
    <w:rsid w:val="006D1C06"/>
    <w:rsid w:val="006D239E"/>
    <w:rsid w:val="006D73FB"/>
    <w:rsid w:val="006E0BC0"/>
    <w:rsid w:val="006E1595"/>
    <w:rsid w:val="006E2C4F"/>
    <w:rsid w:val="006E4C74"/>
    <w:rsid w:val="006F0A5E"/>
    <w:rsid w:val="006F16CC"/>
    <w:rsid w:val="006F3B34"/>
    <w:rsid w:val="006F7139"/>
    <w:rsid w:val="00702DD2"/>
    <w:rsid w:val="00703039"/>
    <w:rsid w:val="007046C7"/>
    <w:rsid w:val="00705523"/>
    <w:rsid w:val="00706735"/>
    <w:rsid w:val="00710F27"/>
    <w:rsid w:val="0071244B"/>
    <w:rsid w:val="00713004"/>
    <w:rsid w:val="00713EDC"/>
    <w:rsid w:val="00714558"/>
    <w:rsid w:val="00715ACE"/>
    <w:rsid w:val="00715B18"/>
    <w:rsid w:val="00722719"/>
    <w:rsid w:val="0072595E"/>
    <w:rsid w:val="00726B13"/>
    <w:rsid w:val="00726B69"/>
    <w:rsid w:val="007309E1"/>
    <w:rsid w:val="00737163"/>
    <w:rsid w:val="007378F5"/>
    <w:rsid w:val="00737B1D"/>
    <w:rsid w:val="007401A0"/>
    <w:rsid w:val="00745DA1"/>
    <w:rsid w:val="0074621E"/>
    <w:rsid w:val="007465EC"/>
    <w:rsid w:val="00747279"/>
    <w:rsid w:val="007512FD"/>
    <w:rsid w:val="00752001"/>
    <w:rsid w:val="007520E1"/>
    <w:rsid w:val="00754219"/>
    <w:rsid w:val="00754BDC"/>
    <w:rsid w:val="00757DE1"/>
    <w:rsid w:val="00760AD1"/>
    <w:rsid w:val="007650DA"/>
    <w:rsid w:val="00765BED"/>
    <w:rsid w:val="00765E30"/>
    <w:rsid w:val="0076669E"/>
    <w:rsid w:val="00766F59"/>
    <w:rsid w:val="00771B80"/>
    <w:rsid w:val="00774C08"/>
    <w:rsid w:val="00774C49"/>
    <w:rsid w:val="0078131A"/>
    <w:rsid w:val="00781D63"/>
    <w:rsid w:val="00786AEA"/>
    <w:rsid w:val="00787E54"/>
    <w:rsid w:val="00792E28"/>
    <w:rsid w:val="0079380D"/>
    <w:rsid w:val="007973CE"/>
    <w:rsid w:val="007A0394"/>
    <w:rsid w:val="007A0725"/>
    <w:rsid w:val="007A12DC"/>
    <w:rsid w:val="007A1A40"/>
    <w:rsid w:val="007A383F"/>
    <w:rsid w:val="007A4EE4"/>
    <w:rsid w:val="007A639F"/>
    <w:rsid w:val="007A66AB"/>
    <w:rsid w:val="007A68B5"/>
    <w:rsid w:val="007A6DDD"/>
    <w:rsid w:val="007A76C1"/>
    <w:rsid w:val="007B35F3"/>
    <w:rsid w:val="007B3A07"/>
    <w:rsid w:val="007B63D9"/>
    <w:rsid w:val="007B7901"/>
    <w:rsid w:val="007B7991"/>
    <w:rsid w:val="007C0337"/>
    <w:rsid w:val="007C0878"/>
    <w:rsid w:val="007C138B"/>
    <w:rsid w:val="007C1791"/>
    <w:rsid w:val="007C2DF4"/>
    <w:rsid w:val="007C4044"/>
    <w:rsid w:val="007C4575"/>
    <w:rsid w:val="007C4BE4"/>
    <w:rsid w:val="007C5CB8"/>
    <w:rsid w:val="007C5E3C"/>
    <w:rsid w:val="007C7229"/>
    <w:rsid w:val="007D289A"/>
    <w:rsid w:val="007D3B05"/>
    <w:rsid w:val="007E0B27"/>
    <w:rsid w:val="007E2B23"/>
    <w:rsid w:val="007E51AA"/>
    <w:rsid w:val="007E61C0"/>
    <w:rsid w:val="007E6341"/>
    <w:rsid w:val="007E7A0C"/>
    <w:rsid w:val="007F2554"/>
    <w:rsid w:val="007F4B94"/>
    <w:rsid w:val="007F5178"/>
    <w:rsid w:val="007F531C"/>
    <w:rsid w:val="007F62FB"/>
    <w:rsid w:val="007F643C"/>
    <w:rsid w:val="007F7779"/>
    <w:rsid w:val="007F7A7B"/>
    <w:rsid w:val="007F7DB3"/>
    <w:rsid w:val="008008F8"/>
    <w:rsid w:val="008014FC"/>
    <w:rsid w:val="00801F3A"/>
    <w:rsid w:val="008078F2"/>
    <w:rsid w:val="00811C5C"/>
    <w:rsid w:val="00814264"/>
    <w:rsid w:val="00814481"/>
    <w:rsid w:val="00814753"/>
    <w:rsid w:val="00814AB5"/>
    <w:rsid w:val="00814CB3"/>
    <w:rsid w:val="008153AD"/>
    <w:rsid w:val="00817A7E"/>
    <w:rsid w:val="0082315F"/>
    <w:rsid w:val="0082323D"/>
    <w:rsid w:val="00826BDE"/>
    <w:rsid w:val="008273F4"/>
    <w:rsid w:val="00827810"/>
    <w:rsid w:val="00830560"/>
    <w:rsid w:val="008315F2"/>
    <w:rsid w:val="0083234C"/>
    <w:rsid w:val="00832EEB"/>
    <w:rsid w:val="0083349B"/>
    <w:rsid w:val="0083406A"/>
    <w:rsid w:val="00835FD7"/>
    <w:rsid w:val="00842F53"/>
    <w:rsid w:val="008437F4"/>
    <w:rsid w:val="00843C60"/>
    <w:rsid w:val="00843CE8"/>
    <w:rsid w:val="008442A2"/>
    <w:rsid w:val="00845D56"/>
    <w:rsid w:val="00845D64"/>
    <w:rsid w:val="008472E0"/>
    <w:rsid w:val="00850D7E"/>
    <w:rsid w:val="008526C0"/>
    <w:rsid w:val="0085373C"/>
    <w:rsid w:val="0085462D"/>
    <w:rsid w:val="00854684"/>
    <w:rsid w:val="0085618E"/>
    <w:rsid w:val="00860960"/>
    <w:rsid w:val="0086268A"/>
    <w:rsid w:val="00862C89"/>
    <w:rsid w:val="008638F8"/>
    <w:rsid w:val="0086484D"/>
    <w:rsid w:val="00865893"/>
    <w:rsid w:val="008666CA"/>
    <w:rsid w:val="008671C0"/>
    <w:rsid w:val="00872280"/>
    <w:rsid w:val="00872EC6"/>
    <w:rsid w:val="00873545"/>
    <w:rsid w:val="00873571"/>
    <w:rsid w:val="00875937"/>
    <w:rsid w:val="00880698"/>
    <w:rsid w:val="00881419"/>
    <w:rsid w:val="00881742"/>
    <w:rsid w:val="0088645C"/>
    <w:rsid w:val="0088647D"/>
    <w:rsid w:val="00886FC3"/>
    <w:rsid w:val="0089040C"/>
    <w:rsid w:val="00890D09"/>
    <w:rsid w:val="00892C94"/>
    <w:rsid w:val="00894362"/>
    <w:rsid w:val="008A001C"/>
    <w:rsid w:val="008A017A"/>
    <w:rsid w:val="008A3F9C"/>
    <w:rsid w:val="008A3FE6"/>
    <w:rsid w:val="008A4382"/>
    <w:rsid w:val="008A5737"/>
    <w:rsid w:val="008A651C"/>
    <w:rsid w:val="008A74E7"/>
    <w:rsid w:val="008B0705"/>
    <w:rsid w:val="008B4D9C"/>
    <w:rsid w:val="008C1021"/>
    <w:rsid w:val="008C2584"/>
    <w:rsid w:val="008C3F7C"/>
    <w:rsid w:val="008C7D11"/>
    <w:rsid w:val="008D26BF"/>
    <w:rsid w:val="008D2757"/>
    <w:rsid w:val="008D2BBA"/>
    <w:rsid w:val="008D3BAB"/>
    <w:rsid w:val="008D76E9"/>
    <w:rsid w:val="008E0D15"/>
    <w:rsid w:val="008E378D"/>
    <w:rsid w:val="008E4154"/>
    <w:rsid w:val="008E4E22"/>
    <w:rsid w:val="008E62A1"/>
    <w:rsid w:val="008E6653"/>
    <w:rsid w:val="008F058F"/>
    <w:rsid w:val="008F111D"/>
    <w:rsid w:val="008F239A"/>
    <w:rsid w:val="008F267E"/>
    <w:rsid w:val="008F2E15"/>
    <w:rsid w:val="0090008A"/>
    <w:rsid w:val="009009AE"/>
    <w:rsid w:val="00901C73"/>
    <w:rsid w:val="00903065"/>
    <w:rsid w:val="00903CA1"/>
    <w:rsid w:val="0090507A"/>
    <w:rsid w:val="0090628E"/>
    <w:rsid w:val="00910499"/>
    <w:rsid w:val="0091050E"/>
    <w:rsid w:val="00910C05"/>
    <w:rsid w:val="009130DD"/>
    <w:rsid w:val="009145B4"/>
    <w:rsid w:val="00915D94"/>
    <w:rsid w:val="0091646A"/>
    <w:rsid w:val="00916E44"/>
    <w:rsid w:val="00924B76"/>
    <w:rsid w:val="00924E1C"/>
    <w:rsid w:val="009255EF"/>
    <w:rsid w:val="00925EE9"/>
    <w:rsid w:val="009302F0"/>
    <w:rsid w:val="009306A8"/>
    <w:rsid w:val="009310B4"/>
    <w:rsid w:val="009325E6"/>
    <w:rsid w:val="00933FC2"/>
    <w:rsid w:val="00936A4E"/>
    <w:rsid w:val="009408FC"/>
    <w:rsid w:val="00942B1C"/>
    <w:rsid w:val="00945511"/>
    <w:rsid w:val="00946FFB"/>
    <w:rsid w:val="0094790F"/>
    <w:rsid w:val="009479AC"/>
    <w:rsid w:val="00953399"/>
    <w:rsid w:val="00953CE8"/>
    <w:rsid w:val="00954B97"/>
    <w:rsid w:val="009566D4"/>
    <w:rsid w:val="00960BB3"/>
    <w:rsid w:val="00966575"/>
    <w:rsid w:val="00967652"/>
    <w:rsid w:val="00972B6D"/>
    <w:rsid w:val="00976F72"/>
    <w:rsid w:val="00980B1F"/>
    <w:rsid w:val="00980BCF"/>
    <w:rsid w:val="0098406E"/>
    <w:rsid w:val="00984546"/>
    <w:rsid w:val="009846B9"/>
    <w:rsid w:val="00985A04"/>
    <w:rsid w:val="00987D2E"/>
    <w:rsid w:val="00990F16"/>
    <w:rsid w:val="009911A5"/>
    <w:rsid w:val="00993575"/>
    <w:rsid w:val="0099550C"/>
    <w:rsid w:val="009A1328"/>
    <w:rsid w:val="009A1B2A"/>
    <w:rsid w:val="009A1C59"/>
    <w:rsid w:val="009A1F91"/>
    <w:rsid w:val="009A424B"/>
    <w:rsid w:val="009A49C7"/>
    <w:rsid w:val="009A708D"/>
    <w:rsid w:val="009A7867"/>
    <w:rsid w:val="009B13C5"/>
    <w:rsid w:val="009B1B2E"/>
    <w:rsid w:val="009B30C1"/>
    <w:rsid w:val="009B60E2"/>
    <w:rsid w:val="009B6EC4"/>
    <w:rsid w:val="009B7F1D"/>
    <w:rsid w:val="009C2999"/>
    <w:rsid w:val="009C2CB8"/>
    <w:rsid w:val="009C2D65"/>
    <w:rsid w:val="009C3BD0"/>
    <w:rsid w:val="009C4E0A"/>
    <w:rsid w:val="009D1B51"/>
    <w:rsid w:val="009D3C42"/>
    <w:rsid w:val="009D4640"/>
    <w:rsid w:val="009D58BF"/>
    <w:rsid w:val="009D62C6"/>
    <w:rsid w:val="009E030C"/>
    <w:rsid w:val="009E2D1E"/>
    <w:rsid w:val="009E495A"/>
    <w:rsid w:val="009E5DF0"/>
    <w:rsid w:val="009E5EC9"/>
    <w:rsid w:val="009E6127"/>
    <w:rsid w:val="009E66C7"/>
    <w:rsid w:val="009F00C7"/>
    <w:rsid w:val="009F406D"/>
    <w:rsid w:val="009F4D71"/>
    <w:rsid w:val="009F5320"/>
    <w:rsid w:val="009F6735"/>
    <w:rsid w:val="009F6DD3"/>
    <w:rsid w:val="009F7C5A"/>
    <w:rsid w:val="00A00020"/>
    <w:rsid w:val="00A011C8"/>
    <w:rsid w:val="00A0483F"/>
    <w:rsid w:val="00A050E5"/>
    <w:rsid w:val="00A0591C"/>
    <w:rsid w:val="00A06741"/>
    <w:rsid w:val="00A10A32"/>
    <w:rsid w:val="00A13445"/>
    <w:rsid w:val="00A15294"/>
    <w:rsid w:val="00A1559D"/>
    <w:rsid w:val="00A16204"/>
    <w:rsid w:val="00A16C85"/>
    <w:rsid w:val="00A176C0"/>
    <w:rsid w:val="00A17DFD"/>
    <w:rsid w:val="00A20273"/>
    <w:rsid w:val="00A21C57"/>
    <w:rsid w:val="00A2243D"/>
    <w:rsid w:val="00A22889"/>
    <w:rsid w:val="00A24DA9"/>
    <w:rsid w:val="00A26781"/>
    <w:rsid w:val="00A26A3F"/>
    <w:rsid w:val="00A2776E"/>
    <w:rsid w:val="00A27EF7"/>
    <w:rsid w:val="00A302EE"/>
    <w:rsid w:val="00A317F9"/>
    <w:rsid w:val="00A31A2B"/>
    <w:rsid w:val="00A31D18"/>
    <w:rsid w:val="00A32A52"/>
    <w:rsid w:val="00A37CE6"/>
    <w:rsid w:val="00A400D9"/>
    <w:rsid w:val="00A4062E"/>
    <w:rsid w:val="00A41378"/>
    <w:rsid w:val="00A416FE"/>
    <w:rsid w:val="00A42141"/>
    <w:rsid w:val="00A42AC8"/>
    <w:rsid w:val="00A42B0A"/>
    <w:rsid w:val="00A4472D"/>
    <w:rsid w:val="00A47818"/>
    <w:rsid w:val="00A47C1E"/>
    <w:rsid w:val="00A5007E"/>
    <w:rsid w:val="00A500AC"/>
    <w:rsid w:val="00A5150D"/>
    <w:rsid w:val="00A5223F"/>
    <w:rsid w:val="00A52276"/>
    <w:rsid w:val="00A522B8"/>
    <w:rsid w:val="00A523D8"/>
    <w:rsid w:val="00A553CA"/>
    <w:rsid w:val="00A56CC1"/>
    <w:rsid w:val="00A57C77"/>
    <w:rsid w:val="00A608DB"/>
    <w:rsid w:val="00A61501"/>
    <w:rsid w:val="00A6328C"/>
    <w:rsid w:val="00A64458"/>
    <w:rsid w:val="00A66685"/>
    <w:rsid w:val="00A66F3F"/>
    <w:rsid w:val="00A70DE6"/>
    <w:rsid w:val="00A73565"/>
    <w:rsid w:val="00A74662"/>
    <w:rsid w:val="00A75D9F"/>
    <w:rsid w:val="00A768E4"/>
    <w:rsid w:val="00A80C93"/>
    <w:rsid w:val="00A80FCE"/>
    <w:rsid w:val="00A83D2C"/>
    <w:rsid w:val="00A86379"/>
    <w:rsid w:val="00A864CC"/>
    <w:rsid w:val="00A86722"/>
    <w:rsid w:val="00A86C9C"/>
    <w:rsid w:val="00A877D7"/>
    <w:rsid w:val="00A92CAF"/>
    <w:rsid w:val="00A95CE8"/>
    <w:rsid w:val="00A97A23"/>
    <w:rsid w:val="00AA3B58"/>
    <w:rsid w:val="00AA6A43"/>
    <w:rsid w:val="00AB175B"/>
    <w:rsid w:val="00AB514C"/>
    <w:rsid w:val="00AC018A"/>
    <w:rsid w:val="00AC0F19"/>
    <w:rsid w:val="00AC4660"/>
    <w:rsid w:val="00AC4E72"/>
    <w:rsid w:val="00AC5106"/>
    <w:rsid w:val="00AC5244"/>
    <w:rsid w:val="00AC5999"/>
    <w:rsid w:val="00AC62B3"/>
    <w:rsid w:val="00AC7DBB"/>
    <w:rsid w:val="00AD4A62"/>
    <w:rsid w:val="00AD6243"/>
    <w:rsid w:val="00AD7C9E"/>
    <w:rsid w:val="00AE091C"/>
    <w:rsid w:val="00AE1D66"/>
    <w:rsid w:val="00AE4828"/>
    <w:rsid w:val="00AE4FA9"/>
    <w:rsid w:val="00AF16AD"/>
    <w:rsid w:val="00AF3D1E"/>
    <w:rsid w:val="00AF413F"/>
    <w:rsid w:val="00AF49C0"/>
    <w:rsid w:val="00AF6782"/>
    <w:rsid w:val="00AF6B59"/>
    <w:rsid w:val="00AF70A9"/>
    <w:rsid w:val="00AF7317"/>
    <w:rsid w:val="00AF7531"/>
    <w:rsid w:val="00AF767A"/>
    <w:rsid w:val="00B02B99"/>
    <w:rsid w:val="00B02EBA"/>
    <w:rsid w:val="00B035E3"/>
    <w:rsid w:val="00B05400"/>
    <w:rsid w:val="00B06B75"/>
    <w:rsid w:val="00B07369"/>
    <w:rsid w:val="00B07668"/>
    <w:rsid w:val="00B12458"/>
    <w:rsid w:val="00B14482"/>
    <w:rsid w:val="00B17B81"/>
    <w:rsid w:val="00B2273A"/>
    <w:rsid w:val="00B23B50"/>
    <w:rsid w:val="00B25F01"/>
    <w:rsid w:val="00B26BEF"/>
    <w:rsid w:val="00B27A6B"/>
    <w:rsid w:val="00B313FA"/>
    <w:rsid w:val="00B351E8"/>
    <w:rsid w:val="00B3786B"/>
    <w:rsid w:val="00B41318"/>
    <w:rsid w:val="00B417A3"/>
    <w:rsid w:val="00B41FBB"/>
    <w:rsid w:val="00B4262B"/>
    <w:rsid w:val="00B51001"/>
    <w:rsid w:val="00B52617"/>
    <w:rsid w:val="00B53CAF"/>
    <w:rsid w:val="00B5471B"/>
    <w:rsid w:val="00B54EC7"/>
    <w:rsid w:val="00B602C7"/>
    <w:rsid w:val="00B6113D"/>
    <w:rsid w:val="00B62093"/>
    <w:rsid w:val="00B63103"/>
    <w:rsid w:val="00B674C9"/>
    <w:rsid w:val="00B67FCA"/>
    <w:rsid w:val="00B70507"/>
    <w:rsid w:val="00B705B6"/>
    <w:rsid w:val="00B73CE0"/>
    <w:rsid w:val="00B74678"/>
    <w:rsid w:val="00B75A23"/>
    <w:rsid w:val="00B80114"/>
    <w:rsid w:val="00B807B6"/>
    <w:rsid w:val="00B81079"/>
    <w:rsid w:val="00B81D7F"/>
    <w:rsid w:val="00B83C4F"/>
    <w:rsid w:val="00B84363"/>
    <w:rsid w:val="00B8520D"/>
    <w:rsid w:val="00B85C82"/>
    <w:rsid w:val="00B86133"/>
    <w:rsid w:val="00B869AB"/>
    <w:rsid w:val="00B870B8"/>
    <w:rsid w:val="00B9029A"/>
    <w:rsid w:val="00B90724"/>
    <w:rsid w:val="00B907E1"/>
    <w:rsid w:val="00B93D39"/>
    <w:rsid w:val="00B94E31"/>
    <w:rsid w:val="00B9788C"/>
    <w:rsid w:val="00BA1CF0"/>
    <w:rsid w:val="00BA3292"/>
    <w:rsid w:val="00BA54F8"/>
    <w:rsid w:val="00BA5DA6"/>
    <w:rsid w:val="00BA66DF"/>
    <w:rsid w:val="00BA7EE5"/>
    <w:rsid w:val="00BB0B86"/>
    <w:rsid w:val="00BB315B"/>
    <w:rsid w:val="00BB544A"/>
    <w:rsid w:val="00BB5924"/>
    <w:rsid w:val="00BC0E4E"/>
    <w:rsid w:val="00BC3318"/>
    <w:rsid w:val="00BC4216"/>
    <w:rsid w:val="00BC4CB9"/>
    <w:rsid w:val="00BC50CA"/>
    <w:rsid w:val="00BC7DD7"/>
    <w:rsid w:val="00BD008A"/>
    <w:rsid w:val="00BD1A46"/>
    <w:rsid w:val="00BD1BDC"/>
    <w:rsid w:val="00BD2EA7"/>
    <w:rsid w:val="00BD4245"/>
    <w:rsid w:val="00BD4DF4"/>
    <w:rsid w:val="00BD573F"/>
    <w:rsid w:val="00BD69F0"/>
    <w:rsid w:val="00BE41E3"/>
    <w:rsid w:val="00BE620C"/>
    <w:rsid w:val="00BF27E2"/>
    <w:rsid w:val="00BF4B33"/>
    <w:rsid w:val="00BF5E1C"/>
    <w:rsid w:val="00BF69C6"/>
    <w:rsid w:val="00BF76F4"/>
    <w:rsid w:val="00C05941"/>
    <w:rsid w:val="00C07903"/>
    <w:rsid w:val="00C10D28"/>
    <w:rsid w:val="00C11196"/>
    <w:rsid w:val="00C11D1B"/>
    <w:rsid w:val="00C12C88"/>
    <w:rsid w:val="00C13BF8"/>
    <w:rsid w:val="00C13D6F"/>
    <w:rsid w:val="00C14C1A"/>
    <w:rsid w:val="00C14D1C"/>
    <w:rsid w:val="00C1502D"/>
    <w:rsid w:val="00C17E33"/>
    <w:rsid w:val="00C2011E"/>
    <w:rsid w:val="00C2504B"/>
    <w:rsid w:val="00C25112"/>
    <w:rsid w:val="00C26853"/>
    <w:rsid w:val="00C27687"/>
    <w:rsid w:val="00C32AB7"/>
    <w:rsid w:val="00C40C11"/>
    <w:rsid w:val="00C41232"/>
    <w:rsid w:val="00C41377"/>
    <w:rsid w:val="00C42837"/>
    <w:rsid w:val="00C440F9"/>
    <w:rsid w:val="00C51013"/>
    <w:rsid w:val="00C5153F"/>
    <w:rsid w:val="00C51BE6"/>
    <w:rsid w:val="00C53F7F"/>
    <w:rsid w:val="00C55CA5"/>
    <w:rsid w:val="00C5768D"/>
    <w:rsid w:val="00C620B5"/>
    <w:rsid w:val="00C62EB4"/>
    <w:rsid w:val="00C643DF"/>
    <w:rsid w:val="00C64E41"/>
    <w:rsid w:val="00C64EC3"/>
    <w:rsid w:val="00C65257"/>
    <w:rsid w:val="00C70068"/>
    <w:rsid w:val="00C71191"/>
    <w:rsid w:val="00C71ADD"/>
    <w:rsid w:val="00C72486"/>
    <w:rsid w:val="00C75C5F"/>
    <w:rsid w:val="00C760E7"/>
    <w:rsid w:val="00C763A4"/>
    <w:rsid w:val="00C76C8C"/>
    <w:rsid w:val="00C81427"/>
    <w:rsid w:val="00C83248"/>
    <w:rsid w:val="00C857BE"/>
    <w:rsid w:val="00C90A71"/>
    <w:rsid w:val="00C91ECB"/>
    <w:rsid w:val="00C93894"/>
    <w:rsid w:val="00C95B81"/>
    <w:rsid w:val="00C95EA7"/>
    <w:rsid w:val="00C96467"/>
    <w:rsid w:val="00CA0F91"/>
    <w:rsid w:val="00CA1092"/>
    <w:rsid w:val="00CA2176"/>
    <w:rsid w:val="00CA32F9"/>
    <w:rsid w:val="00CA7B8F"/>
    <w:rsid w:val="00CB050E"/>
    <w:rsid w:val="00CB0B24"/>
    <w:rsid w:val="00CB2650"/>
    <w:rsid w:val="00CB6E65"/>
    <w:rsid w:val="00CB7196"/>
    <w:rsid w:val="00CB76CC"/>
    <w:rsid w:val="00CC0EA9"/>
    <w:rsid w:val="00CC1B6C"/>
    <w:rsid w:val="00CC38A7"/>
    <w:rsid w:val="00CC3E7B"/>
    <w:rsid w:val="00CC46CB"/>
    <w:rsid w:val="00CC4817"/>
    <w:rsid w:val="00CC54C5"/>
    <w:rsid w:val="00CC7D3A"/>
    <w:rsid w:val="00CD0103"/>
    <w:rsid w:val="00CD1DC9"/>
    <w:rsid w:val="00CD53D9"/>
    <w:rsid w:val="00CE174C"/>
    <w:rsid w:val="00CE32B4"/>
    <w:rsid w:val="00CE430C"/>
    <w:rsid w:val="00CE5102"/>
    <w:rsid w:val="00CE640C"/>
    <w:rsid w:val="00CE7099"/>
    <w:rsid w:val="00CE7F2E"/>
    <w:rsid w:val="00CF04FE"/>
    <w:rsid w:val="00CF0BC9"/>
    <w:rsid w:val="00CF0ECE"/>
    <w:rsid w:val="00CF16C8"/>
    <w:rsid w:val="00CF31B3"/>
    <w:rsid w:val="00CF4332"/>
    <w:rsid w:val="00D0005A"/>
    <w:rsid w:val="00D02256"/>
    <w:rsid w:val="00D03762"/>
    <w:rsid w:val="00D05F09"/>
    <w:rsid w:val="00D064C2"/>
    <w:rsid w:val="00D06804"/>
    <w:rsid w:val="00D06C3E"/>
    <w:rsid w:val="00D10BEB"/>
    <w:rsid w:val="00D1288B"/>
    <w:rsid w:val="00D16CB6"/>
    <w:rsid w:val="00D2374E"/>
    <w:rsid w:val="00D23AE4"/>
    <w:rsid w:val="00D27752"/>
    <w:rsid w:val="00D30463"/>
    <w:rsid w:val="00D30A32"/>
    <w:rsid w:val="00D35BBA"/>
    <w:rsid w:val="00D35CA5"/>
    <w:rsid w:val="00D36520"/>
    <w:rsid w:val="00D41538"/>
    <w:rsid w:val="00D422C5"/>
    <w:rsid w:val="00D42551"/>
    <w:rsid w:val="00D426CF"/>
    <w:rsid w:val="00D42A00"/>
    <w:rsid w:val="00D4592F"/>
    <w:rsid w:val="00D46745"/>
    <w:rsid w:val="00D4691F"/>
    <w:rsid w:val="00D46A3C"/>
    <w:rsid w:val="00D47535"/>
    <w:rsid w:val="00D52430"/>
    <w:rsid w:val="00D53C32"/>
    <w:rsid w:val="00D5482D"/>
    <w:rsid w:val="00D54D74"/>
    <w:rsid w:val="00D575F8"/>
    <w:rsid w:val="00D6033E"/>
    <w:rsid w:val="00D609BC"/>
    <w:rsid w:val="00D60A87"/>
    <w:rsid w:val="00D620A7"/>
    <w:rsid w:val="00D63D37"/>
    <w:rsid w:val="00D64352"/>
    <w:rsid w:val="00D6516F"/>
    <w:rsid w:val="00D72A42"/>
    <w:rsid w:val="00D72BF3"/>
    <w:rsid w:val="00D7640D"/>
    <w:rsid w:val="00D77659"/>
    <w:rsid w:val="00D817CB"/>
    <w:rsid w:val="00D82DF6"/>
    <w:rsid w:val="00D834A6"/>
    <w:rsid w:val="00D86EA0"/>
    <w:rsid w:val="00D902A3"/>
    <w:rsid w:val="00D95D66"/>
    <w:rsid w:val="00D95E45"/>
    <w:rsid w:val="00D96716"/>
    <w:rsid w:val="00D9680E"/>
    <w:rsid w:val="00D97661"/>
    <w:rsid w:val="00DA3C27"/>
    <w:rsid w:val="00DA3C9F"/>
    <w:rsid w:val="00DA44D4"/>
    <w:rsid w:val="00DA482B"/>
    <w:rsid w:val="00DA509F"/>
    <w:rsid w:val="00DA51BB"/>
    <w:rsid w:val="00DA5C41"/>
    <w:rsid w:val="00DB0272"/>
    <w:rsid w:val="00DB04AF"/>
    <w:rsid w:val="00DB1B0C"/>
    <w:rsid w:val="00DB1BD0"/>
    <w:rsid w:val="00DB4266"/>
    <w:rsid w:val="00DB4483"/>
    <w:rsid w:val="00DB4920"/>
    <w:rsid w:val="00DB4BF2"/>
    <w:rsid w:val="00DB4C7D"/>
    <w:rsid w:val="00DB52BE"/>
    <w:rsid w:val="00DB58BF"/>
    <w:rsid w:val="00DB671E"/>
    <w:rsid w:val="00DC0F83"/>
    <w:rsid w:val="00DC3F18"/>
    <w:rsid w:val="00DC51F9"/>
    <w:rsid w:val="00DD23BF"/>
    <w:rsid w:val="00DD340A"/>
    <w:rsid w:val="00DD4791"/>
    <w:rsid w:val="00DD5342"/>
    <w:rsid w:val="00DD54B1"/>
    <w:rsid w:val="00DD6D25"/>
    <w:rsid w:val="00DD6DE3"/>
    <w:rsid w:val="00DD7630"/>
    <w:rsid w:val="00DD7965"/>
    <w:rsid w:val="00DD7B56"/>
    <w:rsid w:val="00DE1F1F"/>
    <w:rsid w:val="00DE31E3"/>
    <w:rsid w:val="00DE3378"/>
    <w:rsid w:val="00DE3B83"/>
    <w:rsid w:val="00DE424A"/>
    <w:rsid w:val="00DE4A61"/>
    <w:rsid w:val="00DE5376"/>
    <w:rsid w:val="00DE602B"/>
    <w:rsid w:val="00DE700B"/>
    <w:rsid w:val="00DF02CB"/>
    <w:rsid w:val="00DF13FD"/>
    <w:rsid w:val="00DF2E2C"/>
    <w:rsid w:val="00DF36D2"/>
    <w:rsid w:val="00DF43AD"/>
    <w:rsid w:val="00DF4CE7"/>
    <w:rsid w:val="00DF4DA1"/>
    <w:rsid w:val="00DF5073"/>
    <w:rsid w:val="00DF54B8"/>
    <w:rsid w:val="00DF6BA3"/>
    <w:rsid w:val="00DF71E5"/>
    <w:rsid w:val="00DF772F"/>
    <w:rsid w:val="00E002E0"/>
    <w:rsid w:val="00E0129C"/>
    <w:rsid w:val="00E01493"/>
    <w:rsid w:val="00E040A6"/>
    <w:rsid w:val="00E05078"/>
    <w:rsid w:val="00E0643F"/>
    <w:rsid w:val="00E06819"/>
    <w:rsid w:val="00E06898"/>
    <w:rsid w:val="00E1058C"/>
    <w:rsid w:val="00E10E80"/>
    <w:rsid w:val="00E1176D"/>
    <w:rsid w:val="00E140EC"/>
    <w:rsid w:val="00E20488"/>
    <w:rsid w:val="00E21A09"/>
    <w:rsid w:val="00E22057"/>
    <w:rsid w:val="00E23A67"/>
    <w:rsid w:val="00E24870"/>
    <w:rsid w:val="00E24B33"/>
    <w:rsid w:val="00E2642A"/>
    <w:rsid w:val="00E26895"/>
    <w:rsid w:val="00E31B3B"/>
    <w:rsid w:val="00E31B9F"/>
    <w:rsid w:val="00E33441"/>
    <w:rsid w:val="00E34DBF"/>
    <w:rsid w:val="00E361EE"/>
    <w:rsid w:val="00E40267"/>
    <w:rsid w:val="00E40792"/>
    <w:rsid w:val="00E40D57"/>
    <w:rsid w:val="00E4124A"/>
    <w:rsid w:val="00E424B9"/>
    <w:rsid w:val="00E43899"/>
    <w:rsid w:val="00E44678"/>
    <w:rsid w:val="00E45575"/>
    <w:rsid w:val="00E458C8"/>
    <w:rsid w:val="00E557D9"/>
    <w:rsid w:val="00E61FAD"/>
    <w:rsid w:val="00E624A2"/>
    <w:rsid w:val="00E6266E"/>
    <w:rsid w:val="00E64DD3"/>
    <w:rsid w:val="00E64DDA"/>
    <w:rsid w:val="00E66285"/>
    <w:rsid w:val="00E66819"/>
    <w:rsid w:val="00E66D6F"/>
    <w:rsid w:val="00E70C01"/>
    <w:rsid w:val="00E70C78"/>
    <w:rsid w:val="00E70DF3"/>
    <w:rsid w:val="00E722A8"/>
    <w:rsid w:val="00E72796"/>
    <w:rsid w:val="00E7299F"/>
    <w:rsid w:val="00E72B05"/>
    <w:rsid w:val="00E7338E"/>
    <w:rsid w:val="00E73A8F"/>
    <w:rsid w:val="00E74971"/>
    <w:rsid w:val="00E833EE"/>
    <w:rsid w:val="00E84389"/>
    <w:rsid w:val="00E84578"/>
    <w:rsid w:val="00E856DC"/>
    <w:rsid w:val="00E924DC"/>
    <w:rsid w:val="00E92AC6"/>
    <w:rsid w:val="00E92B30"/>
    <w:rsid w:val="00E94D56"/>
    <w:rsid w:val="00E95ED4"/>
    <w:rsid w:val="00E96E88"/>
    <w:rsid w:val="00E9712A"/>
    <w:rsid w:val="00EA2B4F"/>
    <w:rsid w:val="00EA3AE0"/>
    <w:rsid w:val="00EA6194"/>
    <w:rsid w:val="00EB3C23"/>
    <w:rsid w:val="00EB3E5C"/>
    <w:rsid w:val="00EB4409"/>
    <w:rsid w:val="00EB58C2"/>
    <w:rsid w:val="00EB618D"/>
    <w:rsid w:val="00EB6908"/>
    <w:rsid w:val="00EC0441"/>
    <w:rsid w:val="00EC1003"/>
    <w:rsid w:val="00EC126D"/>
    <w:rsid w:val="00EC3D21"/>
    <w:rsid w:val="00EC40BF"/>
    <w:rsid w:val="00EC47DD"/>
    <w:rsid w:val="00EC5226"/>
    <w:rsid w:val="00EC5A6F"/>
    <w:rsid w:val="00EC70EF"/>
    <w:rsid w:val="00EC72B6"/>
    <w:rsid w:val="00ED0BE1"/>
    <w:rsid w:val="00ED2007"/>
    <w:rsid w:val="00ED7FE5"/>
    <w:rsid w:val="00EE0AF0"/>
    <w:rsid w:val="00EE4E4A"/>
    <w:rsid w:val="00EE6B19"/>
    <w:rsid w:val="00EE6BC3"/>
    <w:rsid w:val="00EF3E07"/>
    <w:rsid w:val="00EF55F5"/>
    <w:rsid w:val="00EF58E5"/>
    <w:rsid w:val="00F00785"/>
    <w:rsid w:val="00F008E2"/>
    <w:rsid w:val="00F019BD"/>
    <w:rsid w:val="00F06B08"/>
    <w:rsid w:val="00F123A0"/>
    <w:rsid w:val="00F1338B"/>
    <w:rsid w:val="00F14EFA"/>
    <w:rsid w:val="00F15EC8"/>
    <w:rsid w:val="00F177AC"/>
    <w:rsid w:val="00F17E17"/>
    <w:rsid w:val="00F20731"/>
    <w:rsid w:val="00F20877"/>
    <w:rsid w:val="00F21318"/>
    <w:rsid w:val="00F22334"/>
    <w:rsid w:val="00F26CB0"/>
    <w:rsid w:val="00F27677"/>
    <w:rsid w:val="00F27735"/>
    <w:rsid w:val="00F27F8A"/>
    <w:rsid w:val="00F3306C"/>
    <w:rsid w:val="00F33BBE"/>
    <w:rsid w:val="00F37CB9"/>
    <w:rsid w:val="00F41B5B"/>
    <w:rsid w:val="00F42935"/>
    <w:rsid w:val="00F432A7"/>
    <w:rsid w:val="00F44499"/>
    <w:rsid w:val="00F45653"/>
    <w:rsid w:val="00F4652F"/>
    <w:rsid w:val="00F47792"/>
    <w:rsid w:val="00F55802"/>
    <w:rsid w:val="00F61574"/>
    <w:rsid w:val="00F61EBC"/>
    <w:rsid w:val="00F62719"/>
    <w:rsid w:val="00F629B7"/>
    <w:rsid w:val="00F63101"/>
    <w:rsid w:val="00F65E19"/>
    <w:rsid w:val="00F66A22"/>
    <w:rsid w:val="00F676C6"/>
    <w:rsid w:val="00F710B7"/>
    <w:rsid w:val="00F71910"/>
    <w:rsid w:val="00F72454"/>
    <w:rsid w:val="00F7249F"/>
    <w:rsid w:val="00F74F56"/>
    <w:rsid w:val="00F75CE7"/>
    <w:rsid w:val="00F80223"/>
    <w:rsid w:val="00F80D83"/>
    <w:rsid w:val="00F8289F"/>
    <w:rsid w:val="00F83524"/>
    <w:rsid w:val="00F83DA4"/>
    <w:rsid w:val="00F927F0"/>
    <w:rsid w:val="00F92A3C"/>
    <w:rsid w:val="00F92D92"/>
    <w:rsid w:val="00F9362D"/>
    <w:rsid w:val="00F937C1"/>
    <w:rsid w:val="00F95474"/>
    <w:rsid w:val="00F9561D"/>
    <w:rsid w:val="00F959C0"/>
    <w:rsid w:val="00F96B72"/>
    <w:rsid w:val="00F97DD7"/>
    <w:rsid w:val="00FA1294"/>
    <w:rsid w:val="00FA3599"/>
    <w:rsid w:val="00FA4770"/>
    <w:rsid w:val="00FA4FB0"/>
    <w:rsid w:val="00FA5B8D"/>
    <w:rsid w:val="00FA69B7"/>
    <w:rsid w:val="00FB03FF"/>
    <w:rsid w:val="00FB1E59"/>
    <w:rsid w:val="00FB475E"/>
    <w:rsid w:val="00FB67AF"/>
    <w:rsid w:val="00FC0B2F"/>
    <w:rsid w:val="00FC2082"/>
    <w:rsid w:val="00FC248B"/>
    <w:rsid w:val="00FC4BA0"/>
    <w:rsid w:val="00FC52F8"/>
    <w:rsid w:val="00FC5CAB"/>
    <w:rsid w:val="00FC7D5B"/>
    <w:rsid w:val="00FD014E"/>
    <w:rsid w:val="00FD118A"/>
    <w:rsid w:val="00FD41CF"/>
    <w:rsid w:val="00FD4449"/>
    <w:rsid w:val="00FD623E"/>
    <w:rsid w:val="00FD6837"/>
    <w:rsid w:val="00FD796B"/>
    <w:rsid w:val="00FD7C7C"/>
    <w:rsid w:val="00FE12C6"/>
    <w:rsid w:val="00FE173D"/>
    <w:rsid w:val="00FE2DF3"/>
    <w:rsid w:val="00FE4863"/>
    <w:rsid w:val="00FE4ABA"/>
    <w:rsid w:val="00FE4B53"/>
    <w:rsid w:val="00FE4EF8"/>
    <w:rsid w:val="00FE4F7C"/>
    <w:rsid w:val="00FE616B"/>
    <w:rsid w:val="00FE6843"/>
    <w:rsid w:val="00FE688D"/>
    <w:rsid w:val="00FE7B21"/>
    <w:rsid w:val="00FF1AA0"/>
    <w:rsid w:val="00FF1FB4"/>
    <w:rsid w:val="00FF3966"/>
    <w:rsid w:val="00FF47BC"/>
    <w:rsid w:val="00FF4A12"/>
    <w:rsid w:val="00FF65E2"/>
    <w:rsid w:val="00FF6614"/>
    <w:rsid w:val="00FF6A44"/>
    <w:rsid w:val="00FF6EB6"/>
    <w:rsid w:val="00FF7EC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490A8"/>
  <w15:chartTrackingRefBased/>
  <w15:docId w15:val="{45D0FDF8-2AEC-4E71-9E74-DBE3FA47E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hu-H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482"/>
    <w:pPr>
      <w:spacing w:line="360" w:lineRule="auto"/>
      <w:jc w:val="both"/>
    </w:pPr>
    <w:rPr>
      <w:rFonts w:ascii="Times New Roman" w:hAnsi="Times New Roman"/>
    </w:rPr>
  </w:style>
  <w:style w:type="paragraph" w:styleId="Heading1">
    <w:name w:val="heading 1"/>
    <w:basedOn w:val="Normal"/>
    <w:next w:val="Normal"/>
    <w:link w:val="Heading1Char"/>
    <w:uiPriority w:val="9"/>
    <w:qFormat/>
    <w:rsid w:val="001B51D1"/>
    <w:pPr>
      <w:keepNext/>
      <w:keepLines/>
      <w:spacing w:before="360" w:after="80"/>
      <w:outlineLvl w:val="0"/>
    </w:pPr>
    <w:rPr>
      <w:rFonts w:eastAsiaTheme="majorEastAsia" w:cstheme="majorBidi"/>
      <w:b/>
      <w:szCs w:val="40"/>
    </w:rPr>
  </w:style>
  <w:style w:type="paragraph" w:styleId="Heading2">
    <w:name w:val="heading 2"/>
    <w:basedOn w:val="Normal"/>
    <w:next w:val="Normal"/>
    <w:link w:val="Heading2Char"/>
    <w:uiPriority w:val="9"/>
    <w:unhideWhenUsed/>
    <w:qFormat/>
    <w:rsid w:val="006C6C7D"/>
    <w:pPr>
      <w:keepNext/>
      <w:keepLines/>
      <w:spacing w:before="160" w:after="80"/>
      <w:outlineLvl w:val="1"/>
    </w:pPr>
    <w:rPr>
      <w:rFonts w:eastAsiaTheme="majorEastAsia" w:cstheme="majorBidi"/>
      <w:b/>
      <w:szCs w:val="32"/>
    </w:rPr>
  </w:style>
  <w:style w:type="paragraph" w:styleId="Heading3">
    <w:name w:val="heading 3"/>
    <w:basedOn w:val="Normal"/>
    <w:next w:val="Normal"/>
    <w:link w:val="Heading3Char"/>
    <w:uiPriority w:val="9"/>
    <w:unhideWhenUsed/>
    <w:qFormat/>
    <w:rsid w:val="006C6C7D"/>
    <w:pPr>
      <w:keepNext/>
      <w:keepLines/>
      <w:spacing w:before="160" w:after="80"/>
      <w:outlineLvl w:val="2"/>
    </w:pPr>
    <w:rPr>
      <w:rFonts w:eastAsiaTheme="majorEastAsia" w:cstheme="majorBidi"/>
      <w:b/>
      <w:szCs w:val="28"/>
    </w:rPr>
  </w:style>
  <w:style w:type="paragraph" w:styleId="Heading4">
    <w:name w:val="heading 4"/>
    <w:basedOn w:val="Normal"/>
    <w:next w:val="Normal"/>
    <w:link w:val="Heading4Char"/>
    <w:uiPriority w:val="9"/>
    <w:unhideWhenUsed/>
    <w:qFormat/>
    <w:rsid w:val="00555E55"/>
    <w:pPr>
      <w:keepNext/>
      <w:keepLines/>
      <w:spacing w:before="80" w:after="4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B41FB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1FB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1FB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1FB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1FB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51D1"/>
    <w:rPr>
      <w:rFonts w:ascii="Times New Roman" w:eastAsiaTheme="majorEastAsia" w:hAnsi="Times New Roman" w:cstheme="majorBidi"/>
      <w:b/>
      <w:szCs w:val="40"/>
    </w:rPr>
  </w:style>
  <w:style w:type="character" w:customStyle="1" w:styleId="Heading2Char">
    <w:name w:val="Heading 2 Char"/>
    <w:basedOn w:val="DefaultParagraphFont"/>
    <w:link w:val="Heading2"/>
    <w:uiPriority w:val="9"/>
    <w:rsid w:val="006C6C7D"/>
    <w:rPr>
      <w:rFonts w:ascii="Times New Roman" w:eastAsiaTheme="majorEastAsia" w:hAnsi="Times New Roman" w:cstheme="majorBidi"/>
      <w:b/>
      <w:szCs w:val="32"/>
    </w:rPr>
  </w:style>
  <w:style w:type="character" w:customStyle="1" w:styleId="Heading3Char">
    <w:name w:val="Heading 3 Char"/>
    <w:basedOn w:val="DefaultParagraphFont"/>
    <w:link w:val="Heading3"/>
    <w:uiPriority w:val="9"/>
    <w:rsid w:val="006C6C7D"/>
    <w:rPr>
      <w:rFonts w:ascii="Times New Roman" w:eastAsiaTheme="majorEastAsia" w:hAnsi="Times New Roman" w:cstheme="majorBidi"/>
      <w:b/>
      <w:szCs w:val="28"/>
    </w:rPr>
  </w:style>
  <w:style w:type="character" w:customStyle="1" w:styleId="Heading4Char">
    <w:name w:val="Heading 4 Char"/>
    <w:basedOn w:val="DefaultParagraphFont"/>
    <w:link w:val="Heading4"/>
    <w:uiPriority w:val="9"/>
    <w:rsid w:val="00555E55"/>
    <w:rPr>
      <w:rFonts w:ascii="Times New Roman" w:eastAsiaTheme="majorEastAsia" w:hAnsi="Times New Roman" w:cstheme="majorBidi"/>
      <w:i/>
      <w:iCs/>
    </w:rPr>
  </w:style>
  <w:style w:type="character" w:customStyle="1" w:styleId="Heading5Char">
    <w:name w:val="Heading 5 Char"/>
    <w:basedOn w:val="DefaultParagraphFont"/>
    <w:link w:val="Heading5"/>
    <w:uiPriority w:val="9"/>
    <w:semiHidden/>
    <w:rsid w:val="00B41FB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1FB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1FB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1FB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1FBB"/>
    <w:rPr>
      <w:rFonts w:eastAsiaTheme="majorEastAsia" w:cstheme="majorBidi"/>
      <w:color w:val="272727" w:themeColor="text1" w:themeTint="D8"/>
    </w:rPr>
  </w:style>
  <w:style w:type="paragraph" w:styleId="Title">
    <w:name w:val="Title"/>
    <w:basedOn w:val="Normal"/>
    <w:next w:val="Normal"/>
    <w:link w:val="TitleChar"/>
    <w:uiPriority w:val="10"/>
    <w:qFormat/>
    <w:rsid w:val="00B41FB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1FB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1FB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1FB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1FBB"/>
    <w:pPr>
      <w:spacing w:before="160"/>
      <w:jc w:val="center"/>
    </w:pPr>
    <w:rPr>
      <w:i/>
      <w:iCs/>
      <w:color w:val="404040" w:themeColor="text1" w:themeTint="BF"/>
    </w:rPr>
  </w:style>
  <w:style w:type="character" w:customStyle="1" w:styleId="QuoteChar">
    <w:name w:val="Quote Char"/>
    <w:basedOn w:val="DefaultParagraphFont"/>
    <w:link w:val="Quote"/>
    <w:uiPriority w:val="29"/>
    <w:rsid w:val="00B41FBB"/>
    <w:rPr>
      <w:i/>
      <w:iCs/>
      <w:color w:val="404040" w:themeColor="text1" w:themeTint="BF"/>
    </w:rPr>
  </w:style>
  <w:style w:type="paragraph" w:styleId="ListParagraph">
    <w:name w:val="List Paragraph"/>
    <w:basedOn w:val="Normal"/>
    <w:uiPriority w:val="34"/>
    <w:qFormat/>
    <w:rsid w:val="00B41FBB"/>
    <w:pPr>
      <w:ind w:left="720"/>
      <w:contextualSpacing/>
    </w:pPr>
  </w:style>
  <w:style w:type="character" w:styleId="IntenseEmphasis">
    <w:name w:val="Intense Emphasis"/>
    <w:basedOn w:val="DefaultParagraphFont"/>
    <w:uiPriority w:val="21"/>
    <w:qFormat/>
    <w:rsid w:val="00B41FBB"/>
    <w:rPr>
      <w:i/>
      <w:iCs/>
      <w:color w:val="0F4761" w:themeColor="accent1" w:themeShade="BF"/>
    </w:rPr>
  </w:style>
  <w:style w:type="paragraph" w:styleId="IntenseQuote">
    <w:name w:val="Intense Quote"/>
    <w:basedOn w:val="Normal"/>
    <w:next w:val="Normal"/>
    <w:link w:val="IntenseQuoteChar"/>
    <w:uiPriority w:val="30"/>
    <w:qFormat/>
    <w:rsid w:val="00B41FB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1FBB"/>
    <w:rPr>
      <w:i/>
      <w:iCs/>
      <w:color w:val="0F4761" w:themeColor="accent1" w:themeShade="BF"/>
    </w:rPr>
  </w:style>
  <w:style w:type="character" w:styleId="IntenseReference">
    <w:name w:val="Intense Reference"/>
    <w:basedOn w:val="DefaultParagraphFont"/>
    <w:uiPriority w:val="32"/>
    <w:qFormat/>
    <w:rsid w:val="00B41FBB"/>
    <w:rPr>
      <w:b/>
      <w:bCs/>
      <w:smallCaps/>
      <w:color w:val="0F4761" w:themeColor="accent1" w:themeShade="BF"/>
      <w:spacing w:val="5"/>
    </w:rPr>
  </w:style>
  <w:style w:type="character" w:styleId="Hyperlink">
    <w:name w:val="Hyperlink"/>
    <w:basedOn w:val="DefaultParagraphFont"/>
    <w:uiPriority w:val="99"/>
    <w:unhideWhenUsed/>
    <w:rsid w:val="00A47818"/>
    <w:rPr>
      <w:color w:val="467886" w:themeColor="hyperlink"/>
      <w:u w:val="single"/>
    </w:rPr>
  </w:style>
  <w:style w:type="character" w:styleId="UnresolvedMention">
    <w:name w:val="Unresolved Mention"/>
    <w:basedOn w:val="DefaultParagraphFont"/>
    <w:uiPriority w:val="99"/>
    <w:semiHidden/>
    <w:unhideWhenUsed/>
    <w:rsid w:val="00A47818"/>
    <w:rPr>
      <w:color w:val="605E5C"/>
      <w:shd w:val="clear" w:color="auto" w:fill="E1DFDD"/>
    </w:rPr>
  </w:style>
  <w:style w:type="paragraph" w:styleId="Header">
    <w:name w:val="header"/>
    <w:basedOn w:val="Normal"/>
    <w:link w:val="HeaderChar"/>
    <w:uiPriority w:val="99"/>
    <w:unhideWhenUsed/>
    <w:rsid w:val="00422C90"/>
    <w:pPr>
      <w:tabs>
        <w:tab w:val="center" w:pos="4536"/>
        <w:tab w:val="right" w:pos="9072"/>
      </w:tabs>
      <w:spacing w:after="0" w:line="240" w:lineRule="auto"/>
    </w:pPr>
  </w:style>
  <w:style w:type="character" w:customStyle="1" w:styleId="HeaderChar">
    <w:name w:val="Header Char"/>
    <w:basedOn w:val="DefaultParagraphFont"/>
    <w:link w:val="Header"/>
    <w:uiPriority w:val="99"/>
    <w:rsid w:val="00422C90"/>
    <w:rPr>
      <w:rFonts w:ascii="Times New Roman" w:hAnsi="Times New Roman"/>
    </w:rPr>
  </w:style>
  <w:style w:type="paragraph" w:styleId="Footer">
    <w:name w:val="footer"/>
    <w:basedOn w:val="Normal"/>
    <w:link w:val="FooterChar"/>
    <w:uiPriority w:val="99"/>
    <w:unhideWhenUsed/>
    <w:rsid w:val="00422C90"/>
    <w:pPr>
      <w:tabs>
        <w:tab w:val="center" w:pos="4536"/>
        <w:tab w:val="right" w:pos="9072"/>
      </w:tabs>
      <w:spacing w:after="0" w:line="240" w:lineRule="auto"/>
    </w:pPr>
  </w:style>
  <w:style w:type="character" w:customStyle="1" w:styleId="FooterChar">
    <w:name w:val="Footer Char"/>
    <w:basedOn w:val="DefaultParagraphFont"/>
    <w:link w:val="Footer"/>
    <w:uiPriority w:val="99"/>
    <w:rsid w:val="00422C90"/>
    <w:rPr>
      <w:rFonts w:ascii="Times New Roman" w:hAnsi="Times New Roman"/>
    </w:rPr>
  </w:style>
  <w:style w:type="character" w:styleId="CommentReference">
    <w:name w:val="annotation reference"/>
    <w:basedOn w:val="DefaultParagraphFont"/>
    <w:uiPriority w:val="99"/>
    <w:semiHidden/>
    <w:unhideWhenUsed/>
    <w:rsid w:val="00DD23BF"/>
    <w:rPr>
      <w:sz w:val="16"/>
      <w:szCs w:val="16"/>
    </w:rPr>
  </w:style>
  <w:style w:type="paragraph" w:styleId="CommentText">
    <w:name w:val="annotation text"/>
    <w:basedOn w:val="Normal"/>
    <w:link w:val="CommentTextChar"/>
    <w:uiPriority w:val="99"/>
    <w:unhideWhenUsed/>
    <w:rsid w:val="00DD23BF"/>
    <w:pPr>
      <w:spacing w:line="240" w:lineRule="auto"/>
    </w:pPr>
    <w:rPr>
      <w:sz w:val="20"/>
      <w:szCs w:val="20"/>
    </w:rPr>
  </w:style>
  <w:style w:type="character" w:customStyle="1" w:styleId="CommentTextChar">
    <w:name w:val="Comment Text Char"/>
    <w:basedOn w:val="DefaultParagraphFont"/>
    <w:link w:val="CommentText"/>
    <w:uiPriority w:val="99"/>
    <w:rsid w:val="00DD23B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D23BF"/>
    <w:rPr>
      <w:b/>
      <w:bCs/>
    </w:rPr>
  </w:style>
  <w:style w:type="character" w:customStyle="1" w:styleId="CommentSubjectChar">
    <w:name w:val="Comment Subject Char"/>
    <w:basedOn w:val="CommentTextChar"/>
    <w:link w:val="CommentSubject"/>
    <w:uiPriority w:val="99"/>
    <w:semiHidden/>
    <w:rsid w:val="00DD23BF"/>
    <w:rPr>
      <w:rFonts w:ascii="Times New Roman" w:hAnsi="Times New Roman"/>
      <w:b/>
      <w:bCs/>
      <w:sz w:val="20"/>
      <w:szCs w:val="20"/>
    </w:rPr>
  </w:style>
  <w:style w:type="paragraph" w:customStyle="1" w:styleId="MDPI41tablecaption">
    <w:name w:val="MDPI_4.1_table_caption"/>
    <w:rsid w:val="000031F6"/>
    <w:pPr>
      <w:adjustRightInd w:val="0"/>
      <w:snapToGrid w:val="0"/>
      <w:spacing w:before="240" w:after="120" w:line="228" w:lineRule="auto"/>
      <w:ind w:left="2608"/>
      <w:jc w:val="both"/>
    </w:pPr>
    <w:rPr>
      <w:rFonts w:ascii="Palatino Linotype" w:eastAsia="Times New Roman" w:hAnsi="Palatino Linotype" w:cs="Cordia New"/>
      <w:color w:val="000000"/>
      <w:kern w:val="0"/>
      <w:sz w:val="18"/>
      <w:szCs w:val="22"/>
      <w:lang w:val="en-US" w:eastAsia="de-DE" w:bidi="en-US"/>
      <w14:ligatures w14:val="none"/>
    </w:rPr>
  </w:style>
  <w:style w:type="paragraph" w:customStyle="1" w:styleId="MDPI42tablebody">
    <w:name w:val="MDPI_4.2_table_body"/>
    <w:rsid w:val="000031F6"/>
    <w:pPr>
      <w:adjustRightInd w:val="0"/>
      <w:snapToGrid w:val="0"/>
      <w:spacing w:after="0" w:line="260" w:lineRule="atLeast"/>
      <w:jc w:val="center"/>
    </w:pPr>
    <w:rPr>
      <w:rFonts w:ascii="Palatino Linotype" w:eastAsia="Times New Roman" w:hAnsi="Palatino Linotype" w:cs="Times New Roman"/>
      <w:snapToGrid w:val="0"/>
      <w:color w:val="000000"/>
      <w:kern w:val="0"/>
      <w:sz w:val="20"/>
      <w:szCs w:val="20"/>
      <w:lang w:val="en-US" w:eastAsia="de-DE" w:bidi="en-US"/>
      <w14:ligatures w14:val="none"/>
    </w:rPr>
  </w:style>
  <w:style w:type="paragraph" w:customStyle="1" w:styleId="MDPI43tablefooter">
    <w:name w:val="MDPI_4.3_table_footer"/>
    <w:next w:val="Normal"/>
    <w:rsid w:val="000031F6"/>
    <w:pPr>
      <w:adjustRightInd w:val="0"/>
      <w:snapToGrid w:val="0"/>
      <w:spacing w:after="0" w:line="228" w:lineRule="auto"/>
      <w:ind w:left="2608"/>
      <w:jc w:val="both"/>
    </w:pPr>
    <w:rPr>
      <w:rFonts w:ascii="Palatino Linotype" w:eastAsia="Times New Roman" w:hAnsi="Palatino Linotype" w:cs="Cordia New"/>
      <w:color w:val="000000"/>
      <w:kern w:val="0"/>
      <w:sz w:val="18"/>
      <w:szCs w:val="22"/>
      <w:lang w:val="en-US" w:eastAsia="de-DE" w:bidi="en-US"/>
      <w14:ligatures w14:val="none"/>
    </w:rPr>
  </w:style>
  <w:style w:type="paragraph" w:styleId="Caption">
    <w:name w:val="caption"/>
    <w:basedOn w:val="Normal"/>
    <w:next w:val="Normal"/>
    <w:uiPriority w:val="35"/>
    <w:unhideWhenUsed/>
    <w:qFormat/>
    <w:rsid w:val="00DD7B56"/>
    <w:pPr>
      <w:spacing w:after="240" w:line="240" w:lineRule="auto"/>
    </w:pPr>
    <w:rPr>
      <w:i/>
      <w:iCs/>
      <w:color w:val="0E2841" w:themeColor="text2"/>
      <w:szCs w:val="18"/>
    </w:rPr>
  </w:style>
  <w:style w:type="table" w:styleId="PlainTable2">
    <w:name w:val="Plain Table 2"/>
    <w:basedOn w:val="TableNormal"/>
    <w:uiPriority w:val="42"/>
    <w:rsid w:val="00374825"/>
    <w:pPr>
      <w:spacing w:after="0" w:line="240" w:lineRule="auto"/>
    </w:pPr>
    <w:rPr>
      <w:rFonts w:ascii="Calibri" w:eastAsia="SimSun" w:hAnsi="Calibri" w:cs="Times New Roman"/>
      <w:kern w:val="0"/>
      <w:sz w:val="20"/>
      <w:szCs w:val="20"/>
      <w:lang w:val="en-US" w:eastAsia="zh-CN"/>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D64352"/>
    <w:pPr>
      <w:tabs>
        <w:tab w:val="left" w:pos="624"/>
      </w:tabs>
      <w:spacing w:after="240" w:line="240" w:lineRule="auto"/>
      <w:ind w:left="624" w:hanging="624"/>
    </w:pPr>
  </w:style>
  <w:style w:type="paragraph" w:styleId="BalloonText">
    <w:name w:val="Balloon Text"/>
    <w:basedOn w:val="Normal"/>
    <w:link w:val="BalloonTextChar"/>
    <w:uiPriority w:val="99"/>
    <w:semiHidden/>
    <w:unhideWhenUsed/>
    <w:rsid w:val="00483D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D15"/>
    <w:rPr>
      <w:rFonts w:ascii="Segoe UI" w:hAnsi="Segoe UI" w:cs="Segoe UI"/>
      <w:sz w:val="18"/>
      <w:szCs w:val="18"/>
    </w:rPr>
  </w:style>
  <w:style w:type="character" w:customStyle="1" w:styleId="rynqvb">
    <w:name w:val="rynqvb"/>
    <w:basedOn w:val="DefaultParagraphFont"/>
    <w:rsid w:val="00E458C8"/>
  </w:style>
  <w:style w:type="paragraph" w:styleId="Revision">
    <w:name w:val="Revision"/>
    <w:hidden/>
    <w:uiPriority w:val="99"/>
    <w:semiHidden/>
    <w:rsid w:val="00AF413F"/>
    <w:pPr>
      <w:spacing w:after="0" w:line="240" w:lineRule="auto"/>
    </w:pPr>
    <w:rPr>
      <w:rFonts w:ascii="Times New Roman" w:hAnsi="Times New Roman"/>
    </w:rPr>
  </w:style>
  <w:style w:type="paragraph" w:styleId="NoSpacing">
    <w:name w:val="No Spacing"/>
    <w:link w:val="NoSpacingChar"/>
    <w:uiPriority w:val="1"/>
    <w:qFormat/>
    <w:rsid w:val="00AF6B59"/>
    <w:pPr>
      <w:spacing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AF6B59"/>
    <w:rPr>
      <w:rFonts w:eastAsiaTheme="minorEastAsia"/>
      <w:kern w:val="0"/>
      <w:sz w:val="22"/>
      <w:szCs w:val="22"/>
      <w:lang w:val="en-US"/>
      <w14:ligatures w14:val="none"/>
    </w:rPr>
  </w:style>
  <w:style w:type="paragraph" w:customStyle="1" w:styleId="Default">
    <w:name w:val="Default"/>
    <w:link w:val="DefaultChar"/>
    <w:rsid w:val="004D0D0A"/>
    <w:pPr>
      <w:autoSpaceDE w:val="0"/>
      <w:autoSpaceDN w:val="0"/>
      <w:adjustRightInd w:val="0"/>
      <w:spacing w:after="0" w:line="240" w:lineRule="auto"/>
    </w:pPr>
    <w:rPr>
      <w:rFonts w:ascii="Times New Roman" w:hAnsi="Times New Roman" w:cs="Times New Roman"/>
      <w:color w:val="000000"/>
      <w:kern w:val="0"/>
    </w:rPr>
  </w:style>
  <w:style w:type="paragraph" w:customStyle="1" w:styleId="Coverpagetitle">
    <w:name w:val="Cover page title"/>
    <w:basedOn w:val="Default"/>
    <w:link w:val="CoverpagetitleChar"/>
    <w:autoRedefine/>
    <w:qFormat/>
    <w:rsid w:val="004D0D0A"/>
    <w:pPr>
      <w:spacing w:after="120"/>
      <w:jc w:val="center"/>
    </w:pPr>
    <w:rPr>
      <w:b/>
      <w:bCs/>
      <w:caps/>
      <w:sz w:val="36"/>
      <w:szCs w:val="36"/>
      <w:lang w:val="en-US"/>
    </w:rPr>
  </w:style>
  <w:style w:type="character" w:customStyle="1" w:styleId="DefaultChar">
    <w:name w:val="Default Char"/>
    <w:basedOn w:val="DefaultParagraphFont"/>
    <w:link w:val="Default"/>
    <w:rsid w:val="004D0D0A"/>
    <w:rPr>
      <w:rFonts w:ascii="Times New Roman" w:hAnsi="Times New Roman" w:cs="Times New Roman"/>
      <w:color w:val="000000"/>
      <w:kern w:val="0"/>
    </w:rPr>
  </w:style>
  <w:style w:type="character" w:customStyle="1" w:styleId="CoverpagetitleChar">
    <w:name w:val="Cover page title Char"/>
    <w:basedOn w:val="DefaultChar"/>
    <w:link w:val="Coverpagetitle"/>
    <w:rsid w:val="004D0D0A"/>
    <w:rPr>
      <w:rFonts w:ascii="Times New Roman" w:hAnsi="Times New Roman" w:cs="Times New Roman"/>
      <w:b/>
      <w:bCs/>
      <w:caps/>
      <w:color w:val="000000"/>
      <w:kern w:val="0"/>
      <w:sz w:val="36"/>
      <w:szCs w:val="36"/>
      <w:lang w:val="en-US"/>
    </w:rPr>
  </w:style>
  <w:style w:type="paragraph" w:styleId="TOCHeading">
    <w:name w:val="TOC Heading"/>
    <w:basedOn w:val="Heading1"/>
    <w:next w:val="Normal"/>
    <w:uiPriority w:val="39"/>
    <w:unhideWhenUsed/>
    <w:qFormat/>
    <w:rsid w:val="005703D4"/>
    <w:pPr>
      <w:spacing w:before="240" w:after="0" w:line="259" w:lineRule="auto"/>
      <w:jc w:val="left"/>
      <w:outlineLvl w:val="9"/>
    </w:pPr>
    <w:rPr>
      <w:rFonts w:asciiTheme="majorHAnsi" w:hAnsiTheme="majorHAnsi"/>
      <w:b w:val="0"/>
      <w:color w:val="0F4761" w:themeColor="accent1" w:themeShade="BF"/>
      <w:kern w:val="0"/>
      <w:sz w:val="32"/>
      <w:szCs w:val="32"/>
      <w:lang w:val="en-US"/>
      <w14:ligatures w14:val="none"/>
    </w:rPr>
  </w:style>
  <w:style w:type="paragraph" w:styleId="TOC1">
    <w:name w:val="toc 1"/>
    <w:basedOn w:val="Normal"/>
    <w:next w:val="Normal"/>
    <w:autoRedefine/>
    <w:uiPriority w:val="39"/>
    <w:unhideWhenUsed/>
    <w:rsid w:val="005703D4"/>
    <w:pPr>
      <w:spacing w:after="100"/>
    </w:pPr>
  </w:style>
  <w:style w:type="paragraph" w:styleId="TOC2">
    <w:name w:val="toc 2"/>
    <w:basedOn w:val="Normal"/>
    <w:next w:val="Normal"/>
    <w:autoRedefine/>
    <w:uiPriority w:val="39"/>
    <w:unhideWhenUsed/>
    <w:rsid w:val="005703D4"/>
    <w:pPr>
      <w:spacing w:after="100"/>
      <w:ind w:left="240"/>
    </w:pPr>
  </w:style>
  <w:style w:type="paragraph" w:styleId="TOC3">
    <w:name w:val="toc 3"/>
    <w:basedOn w:val="Normal"/>
    <w:next w:val="Normal"/>
    <w:autoRedefine/>
    <w:uiPriority w:val="39"/>
    <w:unhideWhenUsed/>
    <w:rsid w:val="005703D4"/>
    <w:pPr>
      <w:spacing w:after="100"/>
      <w:ind w:left="480"/>
    </w:pPr>
  </w:style>
  <w:style w:type="paragraph" w:styleId="NormalWeb">
    <w:name w:val="Normal (Web)"/>
    <w:basedOn w:val="Normal"/>
    <w:uiPriority w:val="99"/>
    <w:unhideWhenUsed/>
    <w:rsid w:val="009F5320"/>
    <w:pPr>
      <w:spacing w:before="100" w:beforeAutospacing="1" w:after="100" w:afterAutospacing="1" w:line="240" w:lineRule="auto"/>
      <w:jc w:val="left"/>
    </w:pPr>
    <w:rPr>
      <w:rFonts w:eastAsiaTheme="minorEastAsia" w:cs="Times New Roman"/>
      <w:kern w:val="0"/>
      <w:lang w:eastAsia="hu-HU"/>
      <w14:ligatures w14:val="none"/>
    </w:rPr>
  </w:style>
  <w:style w:type="character" w:customStyle="1" w:styleId="label">
    <w:name w:val="label"/>
    <w:basedOn w:val="DefaultParagraphFont"/>
    <w:rsid w:val="009F5320"/>
  </w:style>
  <w:style w:type="character" w:customStyle="1" w:styleId="quality-sign">
    <w:name w:val="quality-sign"/>
    <w:basedOn w:val="DefaultParagraphFont"/>
    <w:rsid w:val="009F5320"/>
  </w:style>
  <w:style w:type="character" w:customStyle="1" w:styleId="quality-text">
    <w:name w:val="quality-text"/>
    <w:basedOn w:val="DefaultParagraphFont"/>
    <w:rsid w:val="009F5320"/>
  </w:style>
  <w:style w:type="character" w:customStyle="1" w:styleId="cell">
    <w:name w:val="cell"/>
    <w:basedOn w:val="DefaultParagraphFont"/>
    <w:rsid w:val="009F5320"/>
  </w:style>
  <w:style w:type="character" w:customStyle="1" w:styleId="block">
    <w:name w:val="block"/>
    <w:basedOn w:val="DefaultParagraphFont"/>
    <w:rsid w:val="009F5320"/>
  </w:style>
  <w:style w:type="character" w:customStyle="1" w:styleId="cell-value">
    <w:name w:val="cell-value"/>
    <w:basedOn w:val="DefaultParagraphFont"/>
    <w:rsid w:val="009F5320"/>
  </w:style>
  <w:style w:type="character" w:customStyle="1" w:styleId="short-name">
    <w:name w:val="short-name"/>
    <w:basedOn w:val="DefaultParagraphFont"/>
    <w:rsid w:val="009F5320"/>
  </w:style>
  <w:style w:type="paragraph" w:customStyle="1" w:styleId="sof-title">
    <w:name w:val="sof-title"/>
    <w:basedOn w:val="Normal"/>
    <w:rsid w:val="009F5320"/>
    <w:pPr>
      <w:spacing w:before="100" w:beforeAutospacing="1" w:after="100" w:afterAutospacing="1" w:line="240" w:lineRule="auto"/>
      <w:jc w:val="left"/>
    </w:pPr>
    <w:rPr>
      <w:rFonts w:eastAsiaTheme="minorEastAsia" w:cs="Times New Roman"/>
      <w:kern w:val="0"/>
      <w:lang w:eastAsia="hu-HU"/>
      <w14:ligatures w14:val="none"/>
    </w:rPr>
  </w:style>
  <w:style w:type="paragraph" w:customStyle="1" w:styleId="first-letter">
    <w:name w:val="first-letter"/>
    <w:basedOn w:val="Normal"/>
    <w:rsid w:val="009F5320"/>
    <w:pPr>
      <w:spacing w:before="100" w:beforeAutospacing="1" w:after="100" w:afterAutospacing="1" w:line="240" w:lineRule="auto"/>
      <w:jc w:val="left"/>
    </w:pPr>
    <w:rPr>
      <w:rFonts w:eastAsiaTheme="minorEastAsia" w:cs="Times New Roman"/>
      <w:kern w:val="0"/>
      <w:lang w:eastAsia="hu-HU"/>
      <w14:ligatures w14:val="none"/>
    </w:rPr>
  </w:style>
  <w:style w:type="character" w:customStyle="1" w:styleId="comma">
    <w:name w:val="comma"/>
    <w:basedOn w:val="DefaultParagraphFont"/>
    <w:rsid w:val="00AD4A62"/>
  </w:style>
  <w:style w:type="paragraph" w:styleId="TableofFigures">
    <w:name w:val="table of figures"/>
    <w:basedOn w:val="Normal"/>
    <w:next w:val="Normal"/>
    <w:uiPriority w:val="99"/>
    <w:unhideWhenUsed/>
    <w:rsid w:val="003B397C"/>
    <w:pPr>
      <w:spacing w:after="0"/>
    </w:pPr>
  </w:style>
  <w:style w:type="table" w:styleId="TableGrid">
    <w:name w:val="Table Grid"/>
    <w:basedOn w:val="TableNormal"/>
    <w:uiPriority w:val="39"/>
    <w:rsid w:val="00033C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345564">
      <w:bodyDiv w:val="1"/>
      <w:marLeft w:val="0"/>
      <w:marRight w:val="0"/>
      <w:marTop w:val="0"/>
      <w:marBottom w:val="0"/>
      <w:divBdr>
        <w:top w:val="none" w:sz="0" w:space="0" w:color="auto"/>
        <w:left w:val="none" w:sz="0" w:space="0" w:color="auto"/>
        <w:bottom w:val="none" w:sz="0" w:space="0" w:color="auto"/>
        <w:right w:val="none" w:sz="0" w:space="0" w:color="auto"/>
      </w:divBdr>
    </w:div>
    <w:div w:id="219174408">
      <w:bodyDiv w:val="1"/>
      <w:marLeft w:val="0"/>
      <w:marRight w:val="0"/>
      <w:marTop w:val="0"/>
      <w:marBottom w:val="0"/>
      <w:divBdr>
        <w:top w:val="none" w:sz="0" w:space="0" w:color="auto"/>
        <w:left w:val="none" w:sz="0" w:space="0" w:color="auto"/>
        <w:bottom w:val="none" w:sz="0" w:space="0" w:color="auto"/>
        <w:right w:val="none" w:sz="0" w:space="0" w:color="auto"/>
      </w:divBdr>
    </w:div>
    <w:div w:id="270161562">
      <w:bodyDiv w:val="1"/>
      <w:marLeft w:val="0"/>
      <w:marRight w:val="0"/>
      <w:marTop w:val="0"/>
      <w:marBottom w:val="0"/>
      <w:divBdr>
        <w:top w:val="none" w:sz="0" w:space="0" w:color="auto"/>
        <w:left w:val="none" w:sz="0" w:space="0" w:color="auto"/>
        <w:bottom w:val="none" w:sz="0" w:space="0" w:color="auto"/>
        <w:right w:val="none" w:sz="0" w:space="0" w:color="auto"/>
      </w:divBdr>
    </w:div>
    <w:div w:id="565998549">
      <w:bodyDiv w:val="1"/>
      <w:marLeft w:val="0"/>
      <w:marRight w:val="0"/>
      <w:marTop w:val="0"/>
      <w:marBottom w:val="0"/>
      <w:divBdr>
        <w:top w:val="none" w:sz="0" w:space="0" w:color="auto"/>
        <w:left w:val="none" w:sz="0" w:space="0" w:color="auto"/>
        <w:bottom w:val="none" w:sz="0" w:space="0" w:color="auto"/>
        <w:right w:val="none" w:sz="0" w:space="0" w:color="auto"/>
      </w:divBdr>
    </w:div>
    <w:div w:id="596475805">
      <w:bodyDiv w:val="1"/>
      <w:marLeft w:val="0"/>
      <w:marRight w:val="0"/>
      <w:marTop w:val="0"/>
      <w:marBottom w:val="0"/>
      <w:divBdr>
        <w:top w:val="none" w:sz="0" w:space="0" w:color="auto"/>
        <w:left w:val="none" w:sz="0" w:space="0" w:color="auto"/>
        <w:bottom w:val="none" w:sz="0" w:space="0" w:color="auto"/>
        <w:right w:val="none" w:sz="0" w:space="0" w:color="auto"/>
      </w:divBdr>
    </w:div>
    <w:div w:id="726684201">
      <w:bodyDiv w:val="1"/>
      <w:marLeft w:val="0"/>
      <w:marRight w:val="0"/>
      <w:marTop w:val="0"/>
      <w:marBottom w:val="0"/>
      <w:divBdr>
        <w:top w:val="none" w:sz="0" w:space="0" w:color="auto"/>
        <w:left w:val="none" w:sz="0" w:space="0" w:color="auto"/>
        <w:bottom w:val="none" w:sz="0" w:space="0" w:color="auto"/>
        <w:right w:val="none" w:sz="0" w:space="0" w:color="auto"/>
      </w:divBdr>
    </w:div>
    <w:div w:id="803692464">
      <w:bodyDiv w:val="1"/>
      <w:marLeft w:val="0"/>
      <w:marRight w:val="0"/>
      <w:marTop w:val="0"/>
      <w:marBottom w:val="0"/>
      <w:divBdr>
        <w:top w:val="none" w:sz="0" w:space="0" w:color="auto"/>
        <w:left w:val="none" w:sz="0" w:space="0" w:color="auto"/>
        <w:bottom w:val="none" w:sz="0" w:space="0" w:color="auto"/>
        <w:right w:val="none" w:sz="0" w:space="0" w:color="auto"/>
      </w:divBdr>
      <w:divsChild>
        <w:div w:id="477765835">
          <w:marLeft w:val="0"/>
          <w:marRight w:val="0"/>
          <w:marTop w:val="0"/>
          <w:marBottom w:val="0"/>
          <w:divBdr>
            <w:top w:val="none" w:sz="0" w:space="0" w:color="auto"/>
            <w:left w:val="none" w:sz="0" w:space="0" w:color="auto"/>
            <w:bottom w:val="none" w:sz="0" w:space="0" w:color="auto"/>
            <w:right w:val="none" w:sz="0" w:space="0" w:color="auto"/>
          </w:divBdr>
          <w:divsChild>
            <w:div w:id="1470594004">
              <w:marLeft w:val="0"/>
              <w:marRight w:val="0"/>
              <w:marTop w:val="0"/>
              <w:marBottom w:val="0"/>
              <w:divBdr>
                <w:top w:val="none" w:sz="0" w:space="0" w:color="auto"/>
                <w:left w:val="none" w:sz="0" w:space="0" w:color="auto"/>
                <w:bottom w:val="none" w:sz="0" w:space="0" w:color="auto"/>
                <w:right w:val="none" w:sz="0" w:space="0" w:color="auto"/>
              </w:divBdr>
              <w:divsChild>
                <w:div w:id="1520392721">
                  <w:marLeft w:val="0"/>
                  <w:marRight w:val="0"/>
                  <w:marTop w:val="0"/>
                  <w:marBottom w:val="0"/>
                  <w:divBdr>
                    <w:top w:val="none" w:sz="0" w:space="0" w:color="auto"/>
                    <w:left w:val="none" w:sz="0" w:space="0" w:color="auto"/>
                    <w:bottom w:val="none" w:sz="0" w:space="0" w:color="auto"/>
                    <w:right w:val="none" w:sz="0" w:space="0" w:color="auto"/>
                  </w:divBdr>
                  <w:divsChild>
                    <w:div w:id="1581715149">
                      <w:marLeft w:val="0"/>
                      <w:marRight w:val="0"/>
                      <w:marTop w:val="0"/>
                      <w:marBottom w:val="0"/>
                      <w:divBdr>
                        <w:top w:val="none" w:sz="0" w:space="0" w:color="auto"/>
                        <w:left w:val="none" w:sz="0" w:space="0" w:color="auto"/>
                        <w:bottom w:val="none" w:sz="0" w:space="0" w:color="auto"/>
                        <w:right w:val="none" w:sz="0" w:space="0" w:color="auto"/>
                      </w:divBdr>
                      <w:divsChild>
                        <w:div w:id="2006470407">
                          <w:marLeft w:val="0"/>
                          <w:marRight w:val="0"/>
                          <w:marTop w:val="0"/>
                          <w:marBottom w:val="0"/>
                          <w:divBdr>
                            <w:top w:val="none" w:sz="0" w:space="0" w:color="auto"/>
                            <w:left w:val="none" w:sz="0" w:space="0" w:color="auto"/>
                            <w:bottom w:val="none" w:sz="0" w:space="0" w:color="auto"/>
                            <w:right w:val="none" w:sz="0" w:space="0" w:color="auto"/>
                          </w:divBdr>
                          <w:divsChild>
                            <w:div w:id="149560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414468">
      <w:bodyDiv w:val="1"/>
      <w:marLeft w:val="0"/>
      <w:marRight w:val="0"/>
      <w:marTop w:val="0"/>
      <w:marBottom w:val="0"/>
      <w:divBdr>
        <w:top w:val="none" w:sz="0" w:space="0" w:color="auto"/>
        <w:left w:val="none" w:sz="0" w:space="0" w:color="auto"/>
        <w:bottom w:val="none" w:sz="0" w:space="0" w:color="auto"/>
        <w:right w:val="none" w:sz="0" w:space="0" w:color="auto"/>
      </w:divBdr>
      <w:divsChild>
        <w:div w:id="963735811">
          <w:marLeft w:val="0"/>
          <w:marRight w:val="0"/>
          <w:marTop w:val="0"/>
          <w:marBottom w:val="0"/>
          <w:divBdr>
            <w:top w:val="none" w:sz="0" w:space="0" w:color="auto"/>
            <w:left w:val="none" w:sz="0" w:space="0" w:color="auto"/>
            <w:bottom w:val="none" w:sz="0" w:space="0" w:color="auto"/>
            <w:right w:val="none" w:sz="0" w:space="0" w:color="auto"/>
          </w:divBdr>
          <w:divsChild>
            <w:div w:id="888734525">
              <w:marLeft w:val="0"/>
              <w:marRight w:val="0"/>
              <w:marTop w:val="0"/>
              <w:marBottom w:val="0"/>
              <w:divBdr>
                <w:top w:val="none" w:sz="0" w:space="0" w:color="auto"/>
                <w:left w:val="none" w:sz="0" w:space="0" w:color="auto"/>
                <w:bottom w:val="none" w:sz="0" w:space="0" w:color="auto"/>
                <w:right w:val="none" w:sz="0" w:space="0" w:color="auto"/>
              </w:divBdr>
              <w:divsChild>
                <w:div w:id="241567709">
                  <w:marLeft w:val="0"/>
                  <w:marRight w:val="0"/>
                  <w:marTop w:val="0"/>
                  <w:marBottom w:val="0"/>
                  <w:divBdr>
                    <w:top w:val="none" w:sz="0" w:space="0" w:color="auto"/>
                    <w:left w:val="none" w:sz="0" w:space="0" w:color="auto"/>
                    <w:bottom w:val="none" w:sz="0" w:space="0" w:color="auto"/>
                    <w:right w:val="none" w:sz="0" w:space="0" w:color="auto"/>
                  </w:divBdr>
                  <w:divsChild>
                    <w:div w:id="111695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054700">
      <w:bodyDiv w:val="1"/>
      <w:marLeft w:val="0"/>
      <w:marRight w:val="0"/>
      <w:marTop w:val="0"/>
      <w:marBottom w:val="0"/>
      <w:divBdr>
        <w:top w:val="none" w:sz="0" w:space="0" w:color="auto"/>
        <w:left w:val="none" w:sz="0" w:space="0" w:color="auto"/>
        <w:bottom w:val="none" w:sz="0" w:space="0" w:color="auto"/>
        <w:right w:val="none" w:sz="0" w:space="0" w:color="auto"/>
      </w:divBdr>
      <w:divsChild>
        <w:div w:id="129711853">
          <w:marLeft w:val="0"/>
          <w:marRight w:val="0"/>
          <w:marTop w:val="0"/>
          <w:marBottom w:val="0"/>
          <w:divBdr>
            <w:top w:val="none" w:sz="0" w:space="0" w:color="auto"/>
            <w:left w:val="none" w:sz="0" w:space="0" w:color="auto"/>
            <w:bottom w:val="none" w:sz="0" w:space="0" w:color="auto"/>
            <w:right w:val="none" w:sz="0" w:space="0" w:color="auto"/>
          </w:divBdr>
          <w:divsChild>
            <w:div w:id="426849214">
              <w:marLeft w:val="0"/>
              <w:marRight w:val="0"/>
              <w:marTop w:val="0"/>
              <w:marBottom w:val="0"/>
              <w:divBdr>
                <w:top w:val="none" w:sz="0" w:space="0" w:color="auto"/>
                <w:left w:val="none" w:sz="0" w:space="0" w:color="auto"/>
                <w:bottom w:val="none" w:sz="0" w:space="0" w:color="auto"/>
                <w:right w:val="none" w:sz="0" w:space="0" w:color="auto"/>
              </w:divBdr>
              <w:divsChild>
                <w:div w:id="2065367224">
                  <w:marLeft w:val="0"/>
                  <w:marRight w:val="0"/>
                  <w:marTop w:val="0"/>
                  <w:marBottom w:val="0"/>
                  <w:divBdr>
                    <w:top w:val="none" w:sz="0" w:space="0" w:color="auto"/>
                    <w:left w:val="none" w:sz="0" w:space="0" w:color="auto"/>
                    <w:bottom w:val="none" w:sz="0" w:space="0" w:color="auto"/>
                    <w:right w:val="none" w:sz="0" w:space="0" w:color="auto"/>
                  </w:divBdr>
                  <w:divsChild>
                    <w:div w:id="182401855">
                      <w:marLeft w:val="0"/>
                      <w:marRight w:val="0"/>
                      <w:marTop w:val="0"/>
                      <w:marBottom w:val="0"/>
                      <w:divBdr>
                        <w:top w:val="none" w:sz="0" w:space="0" w:color="auto"/>
                        <w:left w:val="none" w:sz="0" w:space="0" w:color="auto"/>
                        <w:bottom w:val="none" w:sz="0" w:space="0" w:color="auto"/>
                        <w:right w:val="none" w:sz="0" w:space="0" w:color="auto"/>
                      </w:divBdr>
                      <w:divsChild>
                        <w:div w:id="1009870021">
                          <w:marLeft w:val="0"/>
                          <w:marRight w:val="0"/>
                          <w:marTop w:val="0"/>
                          <w:marBottom w:val="0"/>
                          <w:divBdr>
                            <w:top w:val="none" w:sz="0" w:space="0" w:color="auto"/>
                            <w:left w:val="none" w:sz="0" w:space="0" w:color="auto"/>
                            <w:bottom w:val="none" w:sz="0" w:space="0" w:color="auto"/>
                            <w:right w:val="none" w:sz="0" w:space="0" w:color="auto"/>
                          </w:divBdr>
                          <w:divsChild>
                            <w:div w:id="63629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978991">
      <w:bodyDiv w:val="1"/>
      <w:marLeft w:val="0"/>
      <w:marRight w:val="0"/>
      <w:marTop w:val="0"/>
      <w:marBottom w:val="0"/>
      <w:divBdr>
        <w:top w:val="none" w:sz="0" w:space="0" w:color="auto"/>
        <w:left w:val="none" w:sz="0" w:space="0" w:color="auto"/>
        <w:bottom w:val="none" w:sz="0" w:space="0" w:color="auto"/>
        <w:right w:val="none" w:sz="0" w:space="0" w:color="auto"/>
      </w:divBdr>
    </w:div>
    <w:div w:id="1013650023">
      <w:bodyDiv w:val="1"/>
      <w:marLeft w:val="0"/>
      <w:marRight w:val="0"/>
      <w:marTop w:val="0"/>
      <w:marBottom w:val="0"/>
      <w:divBdr>
        <w:top w:val="none" w:sz="0" w:space="0" w:color="auto"/>
        <w:left w:val="none" w:sz="0" w:space="0" w:color="auto"/>
        <w:bottom w:val="none" w:sz="0" w:space="0" w:color="auto"/>
        <w:right w:val="none" w:sz="0" w:space="0" w:color="auto"/>
      </w:divBdr>
    </w:div>
    <w:div w:id="1172912114">
      <w:bodyDiv w:val="1"/>
      <w:marLeft w:val="0"/>
      <w:marRight w:val="0"/>
      <w:marTop w:val="0"/>
      <w:marBottom w:val="0"/>
      <w:divBdr>
        <w:top w:val="none" w:sz="0" w:space="0" w:color="auto"/>
        <w:left w:val="none" w:sz="0" w:space="0" w:color="auto"/>
        <w:bottom w:val="none" w:sz="0" w:space="0" w:color="auto"/>
        <w:right w:val="none" w:sz="0" w:space="0" w:color="auto"/>
      </w:divBdr>
    </w:div>
    <w:div w:id="1433280109">
      <w:bodyDiv w:val="1"/>
      <w:marLeft w:val="0"/>
      <w:marRight w:val="0"/>
      <w:marTop w:val="0"/>
      <w:marBottom w:val="0"/>
      <w:divBdr>
        <w:top w:val="none" w:sz="0" w:space="0" w:color="auto"/>
        <w:left w:val="none" w:sz="0" w:space="0" w:color="auto"/>
        <w:bottom w:val="none" w:sz="0" w:space="0" w:color="auto"/>
        <w:right w:val="none" w:sz="0" w:space="0" w:color="auto"/>
      </w:divBdr>
      <w:divsChild>
        <w:div w:id="1760054680">
          <w:marLeft w:val="0"/>
          <w:marRight w:val="0"/>
          <w:marTop w:val="0"/>
          <w:marBottom w:val="0"/>
          <w:divBdr>
            <w:top w:val="none" w:sz="0" w:space="0" w:color="auto"/>
            <w:left w:val="none" w:sz="0" w:space="0" w:color="auto"/>
            <w:bottom w:val="none" w:sz="0" w:space="0" w:color="auto"/>
            <w:right w:val="none" w:sz="0" w:space="0" w:color="auto"/>
          </w:divBdr>
          <w:divsChild>
            <w:div w:id="1336878415">
              <w:marLeft w:val="0"/>
              <w:marRight w:val="0"/>
              <w:marTop w:val="0"/>
              <w:marBottom w:val="0"/>
              <w:divBdr>
                <w:top w:val="none" w:sz="0" w:space="0" w:color="auto"/>
                <w:left w:val="none" w:sz="0" w:space="0" w:color="auto"/>
                <w:bottom w:val="none" w:sz="0" w:space="0" w:color="auto"/>
                <w:right w:val="none" w:sz="0" w:space="0" w:color="auto"/>
              </w:divBdr>
              <w:divsChild>
                <w:div w:id="1301156257">
                  <w:marLeft w:val="0"/>
                  <w:marRight w:val="0"/>
                  <w:marTop w:val="0"/>
                  <w:marBottom w:val="0"/>
                  <w:divBdr>
                    <w:top w:val="none" w:sz="0" w:space="0" w:color="auto"/>
                    <w:left w:val="none" w:sz="0" w:space="0" w:color="auto"/>
                    <w:bottom w:val="none" w:sz="0" w:space="0" w:color="auto"/>
                    <w:right w:val="none" w:sz="0" w:space="0" w:color="auto"/>
                  </w:divBdr>
                  <w:divsChild>
                    <w:div w:id="299771929">
                      <w:marLeft w:val="0"/>
                      <w:marRight w:val="0"/>
                      <w:marTop w:val="0"/>
                      <w:marBottom w:val="0"/>
                      <w:divBdr>
                        <w:top w:val="none" w:sz="0" w:space="0" w:color="auto"/>
                        <w:left w:val="none" w:sz="0" w:space="0" w:color="auto"/>
                        <w:bottom w:val="none" w:sz="0" w:space="0" w:color="auto"/>
                        <w:right w:val="none" w:sz="0" w:space="0" w:color="auto"/>
                      </w:divBdr>
                      <w:divsChild>
                        <w:div w:id="1183517567">
                          <w:marLeft w:val="0"/>
                          <w:marRight w:val="0"/>
                          <w:marTop w:val="0"/>
                          <w:marBottom w:val="0"/>
                          <w:divBdr>
                            <w:top w:val="none" w:sz="0" w:space="0" w:color="auto"/>
                            <w:left w:val="none" w:sz="0" w:space="0" w:color="auto"/>
                            <w:bottom w:val="none" w:sz="0" w:space="0" w:color="auto"/>
                            <w:right w:val="none" w:sz="0" w:space="0" w:color="auto"/>
                          </w:divBdr>
                          <w:divsChild>
                            <w:div w:id="31603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2664079">
      <w:bodyDiv w:val="1"/>
      <w:marLeft w:val="0"/>
      <w:marRight w:val="0"/>
      <w:marTop w:val="0"/>
      <w:marBottom w:val="0"/>
      <w:divBdr>
        <w:top w:val="none" w:sz="0" w:space="0" w:color="auto"/>
        <w:left w:val="none" w:sz="0" w:space="0" w:color="auto"/>
        <w:bottom w:val="none" w:sz="0" w:space="0" w:color="auto"/>
        <w:right w:val="none" w:sz="0" w:space="0" w:color="auto"/>
      </w:divBdr>
    </w:div>
    <w:div w:id="1532374823">
      <w:bodyDiv w:val="1"/>
      <w:marLeft w:val="0"/>
      <w:marRight w:val="0"/>
      <w:marTop w:val="0"/>
      <w:marBottom w:val="0"/>
      <w:divBdr>
        <w:top w:val="none" w:sz="0" w:space="0" w:color="auto"/>
        <w:left w:val="none" w:sz="0" w:space="0" w:color="auto"/>
        <w:bottom w:val="none" w:sz="0" w:space="0" w:color="auto"/>
        <w:right w:val="none" w:sz="0" w:space="0" w:color="auto"/>
      </w:divBdr>
      <w:divsChild>
        <w:div w:id="2126263669">
          <w:marLeft w:val="0"/>
          <w:marRight w:val="0"/>
          <w:marTop w:val="0"/>
          <w:marBottom w:val="0"/>
          <w:divBdr>
            <w:top w:val="none" w:sz="0" w:space="0" w:color="auto"/>
            <w:left w:val="none" w:sz="0" w:space="0" w:color="auto"/>
            <w:bottom w:val="none" w:sz="0" w:space="0" w:color="auto"/>
            <w:right w:val="none" w:sz="0" w:space="0" w:color="auto"/>
          </w:divBdr>
          <w:divsChild>
            <w:div w:id="566233829">
              <w:marLeft w:val="0"/>
              <w:marRight w:val="0"/>
              <w:marTop w:val="0"/>
              <w:marBottom w:val="0"/>
              <w:divBdr>
                <w:top w:val="none" w:sz="0" w:space="0" w:color="auto"/>
                <w:left w:val="none" w:sz="0" w:space="0" w:color="auto"/>
                <w:bottom w:val="none" w:sz="0" w:space="0" w:color="auto"/>
                <w:right w:val="none" w:sz="0" w:space="0" w:color="auto"/>
              </w:divBdr>
              <w:divsChild>
                <w:div w:id="1128935845">
                  <w:marLeft w:val="0"/>
                  <w:marRight w:val="0"/>
                  <w:marTop w:val="0"/>
                  <w:marBottom w:val="0"/>
                  <w:divBdr>
                    <w:top w:val="none" w:sz="0" w:space="0" w:color="auto"/>
                    <w:left w:val="none" w:sz="0" w:space="0" w:color="auto"/>
                    <w:bottom w:val="none" w:sz="0" w:space="0" w:color="auto"/>
                    <w:right w:val="none" w:sz="0" w:space="0" w:color="auto"/>
                  </w:divBdr>
                  <w:divsChild>
                    <w:div w:id="16929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963291">
      <w:bodyDiv w:val="1"/>
      <w:marLeft w:val="0"/>
      <w:marRight w:val="0"/>
      <w:marTop w:val="0"/>
      <w:marBottom w:val="0"/>
      <w:divBdr>
        <w:top w:val="none" w:sz="0" w:space="0" w:color="auto"/>
        <w:left w:val="none" w:sz="0" w:space="0" w:color="auto"/>
        <w:bottom w:val="none" w:sz="0" w:space="0" w:color="auto"/>
        <w:right w:val="none" w:sz="0" w:space="0" w:color="auto"/>
      </w:divBdr>
    </w:div>
    <w:div w:id="1627468831">
      <w:bodyDiv w:val="1"/>
      <w:marLeft w:val="0"/>
      <w:marRight w:val="0"/>
      <w:marTop w:val="0"/>
      <w:marBottom w:val="0"/>
      <w:divBdr>
        <w:top w:val="none" w:sz="0" w:space="0" w:color="auto"/>
        <w:left w:val="none" w:sz="0" w:space="0" w:color="auto"/>
        <w:bottom w:val="none" w:sz="0" w:space="0" w:color="auto"/>
        <w:right w:val="none" w:sz="0" w:space="0" w:color="auto"/>
      </w:divBdr>
      <w:divsChild>
        <w:div w:id="862745701">
          <w:marLeft w:val="0"/>
          <w:marRight w:val="0"/>
          <w:marTop w:val="0"/>
          <w:marBottom w:val="0"/>
          <w:divBdr>
            <w:top w:val="none" w:sz="0" w:space="0" w:color="auto"/>
            <w:left w:val="none" w:sz="0" w:space="0" w:color="auto"/>
            <w:bottom w:val="none" w:sz="0" w:space="0" w:color="auto"/>
            <w:right w:val="none" w:sz="0" w:space="0" w:color="auto"/>
          </w:divBdr>
          <w:divsChild>
            <w:div w:id="96099179">
              <w:marLeft w:val="0"/>
              <w:marRight w:val="0"/>
              <w:marTop w:val="0"/>
              <w:marBottom w:val="0"/>
              <w:divBdr>
                <w:top w:val="none" w:sz="0" w:space="0" w:color="auto"/>
                <w:left w:val="none" w:sz="0" w:space="0" w:color="auto"/>
                <w:bottom w:val="none" w:sz="0" w:space="0" w:color="auto"/>
                <w:right w:val="none" w:sz="0" w:space="0" w:color="auto"/>
              </w:divBdr>
              <w:divsChild>
                <w:div w:id="594049106">
                  <w:marLeft w:val="0"/>
                  <w:marRight w:val="0"/>
                  <w:marTop w:val="0"/>
                  <w:marBottom w:val="0"/>
                  <w:divBdr>
                    <w:top w:val="none" w:sz="0" w:space="0" w:color="auto"/>
                    <w:left w:val="none" w:sz="0" w:space="0" w:color="auto"/>
                    <w:bottom w:val="none" w:sz="0" w:space="0" w:color="auto"/>
                    <w:right w:val="none" w:sz="0" w:space="0" w:color="auto"/>
                  </w:divBdr>
                  <w:divsChild>
                    <w:div w:id="644242993">
                      <w:marLeft w:val="0"/>
                      <w:marRight w:val="0"/>
                      <w:marTop w:val="0"/>
                      <w:marBottom w:val="0"/>
                      <w:divBdr>
                        <w:top w:val="none" w:sz="0" w:space="0" w:color="auto"/>
                        <w:left w:val="none" w:sz="0" w:space="0" w:color="auto"/>
                        <w:bottom w:val="none" w:sz="0" w:space="0" w:color="auto"/>
                        <w:right w:val="none" w:sz="0" w:space="0" w:color="auto"/>
                      </w:divBdr>
                      <w:divsChild>
                        <w:div w:id="1819566364">
                          <w:marLeft w:val="0"/>
                          <w:marRight w:val="0"/>
                          <w:marTop w:val="0"/>
                          <w:marBottom w:val="0"/>
                          <w:divBdr>
                            <w:top w:val="none" w:sz="0" w:space="0" w:color="auto"/>
                            <w:left w:val="none" w:sz="0" w:space="0" w:color="auto"/>
                            <w:bottom w:val="none" w:sz="0" w:space="0" w:color="auto"/>
                            <w:right w:val="none" w:sz="0" w:space="0" w:color="auto"/>
                          </w:divBdr>
                          <w:divsChild>
                            <w:div w:id="36190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1371">
      <w:bodyDiv w:val="1"/>
      <w:marLeft w:val="0"/>
      <w:marRight w:val="0"/>
      <w:marTop w:val="0"/>
      <w:marBottom w:val="0"/>
      <w:divBdr>
        <w:top w:val="none" w:sz="0" w:space="0" w:color="auto"/>
        <w:left w:val="none" w:sz="0" w:space="0" w:color="auto"/>
        <w:bottom w:val="none" w:sz="0" w:space="0" w:color="auto"/>
        <w:right w:val="none" w:sz="0" w:space="0" w:color="auto"/>
      </w:divBdr>
    </w:div>
    <w:div w:id="1701589039">
      <w:bodyDiv w:val="1"/>
      <w:marLeft w:val="0"/>
      <w:marRight w:val="0"/>
      <w:marTop w:val="0"/>
      <w:marBottom w:val="0"/>
      <w:divBdr>
        <w:top w:val="none" w:sz="0" w:space="0" w:color="auto"/>
        <w:left w:val="none" w:sz="0" w:space="0" w:color="auto"/>
        <w:bottom w:val="none" w:sz="0" w:space="0" w:color="auto"/>
        <w:right w:val="none" w:sz="0" w:space="0" w:color="auto"/>
      </w:divBdr>
    </w:div>
    <w:div w:id="1744597001">
      <w:bodyDiv w:val="1"/>
      <w:marLeft w:val="0"/>
      <w:marRight w:val="0"/>
      <w:marTop w:val="0"/>
      <w:marBottom w:val="0"/>
      <w:divBdr>
        <w:top w:val="none" w:sz="0" w:space="0" w:color="auto"/>
        <w:left w:val="none" w:sz="0" w:space="0" w:color="auto"/>
        <w:bottom w:val="none" w:sz="0" w:space="0" w:color="auto"/>
        <w:right w:val="none" w:sz="0" w:space="0" w:color="auto"/>
      </w:divBdr>
    </w:div>
    <w:div w:id="1988363356">
      <w:bodyDiv w:val="1"/>
      <w:marLeft w:val="0"/>
      <w:marRight w:val="0"/>
      <w:marTop w:val="0"/>
      <w:marBottom w:val="0"/>
      <w:divBdr>
        <w:top w:val="none" w:sz="0" w:space="0" w:color="auto"/>
        <w:left w:val="none" w:sz="0" w:space="0" w:color="auto"/>
        <w:bottom w:val="none" w:sz="0" w:space="0" w:color="auto"/>
        <w:right w:val="none" w:sz="0" w:space="0" w:color="auto"/>
      </w:divBdr>
    </w:div>
    <w:div w:id="2008508994">
      <w:bodyDiv w:val="1"/>
      <w:marLeft w:val="0"/>
      <w:marRight w:val="0"/>
      <w:marTop w:val="0"/>
      <w:marBottom w:val="0"/>
      <w:divBdr>
        <w:top w:val="none" w:sz="0" w:space="0" w:color="auto"/>
        <w:left w:val="none" w:sz="0" w:space="0" w:color="auto"/>
        <w:bottom w:val="none" w:sz="0" w:space="0" w:color="auto"/>
        <w:right w:val="none" w:sz="0" w:space="0" w:color="auto"/>
      </w:divBdr>
    </w:div>
    <w:div w:id="2049185841">
      <w:bodyDiv w:val="1"/>
      <w:marLeft w:val="0"/>
      <w:marRight w:val="0"/>
      <w:marTop w:val="0"/>
      <w:marBottom w:val="0"/>
      <w:divBdr>
        <w:top w:val="none" w:sz="0" w:space="0" w:color="auto"/>
        <w:left w:val="none" w:sz="0" w:space="0" w:color="auto"/>
        <w:bottom w:val="none" w:sz="0" w:space="0" w:color="auto"/>
        <w:right w:val="none" w:sz="0" w:space="0" w:color="auto"/>
      </w:divBdr>
    </w:div>
    <w:div w:id="207777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D4AD6-6B1D-4E40-A789-E1B446E9B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78</Pages>
  <Words>195460</Words>
  <Characters>1114128</Characters>
  <Application>Microsoft Office Word</Application>
  <DocSecurity>0</DocSecurity>
  <Lines>9284</Lines>
  <Paragraphs>2613</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1306975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Csenge Szigetváry</dc:creator>
  <cp:keywords/>
  <dc:description/>
  <cp:lastModifiedBy>Csenge Szigetváry</cp:lastModifiedBy>
  <cp:revision>4</cp:revision>
  <dcterms:created xsi:type="dcterms:W3CDTF">2025-10-16T19:21:00Z</dcterms:created>
  <dcterms:modified xsi:type="dcterms:W3CDTF">2025-10-16T19:47:00Z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id="fJEbgwJd"/&gt;&lt;style id="http://www.zotero.org/styles/vancouver-brackets" locale="en-US" hasBibliography="1" bibliographyStyleHasBeenSet="1"/&gt;&lt;prefs&gt;&lt;pref name="fieldType" value="Field"/&gt;&lt;pref name=</vt:lpwstr>
  </property>
  <property fmtid="{D5CDD505-2E9C-101B-9397-08002B2CF9AE}" pid="3" name="ZOTERO_PREF_2">
    <vt:lpwstr>"automaticJournalAbbreviations" value="true"/&gt;&lt;pref name="dontAskDelayCitationUpdates" value="true"/&gt;&lt;/prefs&gt;&lt;/data&gt;</vt:lpwstr>
  </property>
</Properties>
</file>